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left="4080" w:right="900" w:hanging="3171"/>
        <w:spacing w:after="0" w:line="479" w:lineRule="auto"/>
        <w:tabs>
          <w:tab w:leader="none" w:pos="111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AND EXCHANGE ACT OF 1934 for the fiscal year ended March 30, 2024</w:t>
      </w:r>
    </w:p>
    <w:p>
      <w:pPr>
        <w:spacing w:after="0" w:line="37" w:lineRule="exact"/>
        <w:rPr>
          <w:rFonts w:ascii="MS PGothic" w:cs="MS PGothic" w:eastAsia="MS PGothic" w:hAnsi="MS PGothic"/>
          <w:sz w:val="18"/>
          <w:szCs w:val="18"/>
          <w:color w:val="auto"/>
        </w:rPr>
      </w:pPr>
    </w:p>
    <w:p>
      <w:pPr>
        <w:jc w:val="center"/>
        <w:ind w:left="3520" w:right="940" w:hanging="2579"/>
        <w:spacing w:after="0" w:line="537" w:lineRule="auto"/>
        <w:tabs>
          <w:tab w:leader="none" w:pos="115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__________to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 001-40840</w:t>
            </w:r>
          </w:p>
        </w:tc>
        <w:tc>
          <w:tcPr>
            <w:tcW w:w="36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27"/>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RBC BEARINGS INCORPORATED</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39"/>
        </w:trPr>
        <w:tc>
          <w:tcPr>
            <w:tcW w:w="414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95-4372080</w:t>
            </w:r>
          </w:p>
        </w:tc>
      </w:tr>
      <w:tr>
        <w:trPr>
          <w:trHeight w:val="198"/>
        </w:trPr>
        <w:tc>
          <w:tcPr>
            <w:tcW w:w="4140" w:type="dxa"/>
            <w:vAlign w:val="bottom"/>
            <w:gridSpan w:val="3"/>
          </w:tcPr>
          <w:p>
            <w:pPr>
              <w:jc w:val="center"/>
              <w:ind w:left="125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4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140" w:type="dxa"/>
            <w:vAlign w:val="bottom"/>
            <w:tcBorders>
              <w:bottom w:val="single" w:sz="8" w:color="auto"/>
            </w:tcBorders>
            <w:gridSpan w:val="3"/>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One Tribology Center, Oxford, CT</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06478</w:t>
            </w:r>
          </w:p>
        </w:tc>
      </w:tr>
      <w:tr>
        <w:trPr>
          <w:trHeight w:val="234"/>
        </w:trPr>
        <w:tc>
          <w:tcPr>
            <w:tcW w:w="55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267-7001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800" w:type="dxa"/>
            <w:vAlign w:val="bottom"/>
            <w:tcBorders>
              <w:bottom w:val="single" w:sz="8" w:color="auto"/>
            </w:tcBorders>
            <w:gridSpan w:val="3"/>
          </w:tcPr>
          <w:p>
            <w:pPr>
              <w:spacing w:after="0"/>
              <w:rPr>
                <w:sz w:val="19"/>
                <w:szCs w:val="19"/>
                <w:color w:val="auto"/>
              </w:rPr>
            </w:pPr>
          </w:p>
        </w:tc>
        <w:tc>
          <w:tcPr>
            <w:tcW w:w="420" w:type="dxa"/>
            <w:vAlign w:val="bottom"/>
            <w:gridSpan w:val="2"/>
          </w:tcPr>
          <w:p>
            <w:pPr>
              <w:spacing w:after="0"/>
              <w:rPr>
                <w:sz w:val="19"/>
                <w:szCs w:val="19"/>
                <w:color w:val="auto"/>
              </w:rPr>
            </w:pPr>
          </w:p>
        </w:tc>
        <w:tc>
          <w:tcPr>
            <w:tcW w:w="3800" w:type="dxa"/>
            <w:vAlign w:val="bottom"/>
            <w:gridSpan w:val="2"/>
          </w:tcPr>
          <w:p>
            <w:pPr>
              <w:spacing w:after="0"/>
              <w:rPr>
                <w:sz w:val="19"/>
                <w:szCs w:val="19"/>
                <w:color w:val="auto"/>
              </w:rPr>
            </w:pPr>
          </w:p>
        </w:tc>
      </w:tr>
      <w:tr>
        <w:trPr>
          <w:trHeight w:val="446"/>
        </w:trPr>
        <w:tc>
          <w:tcPr>
            <w:tcW w:w="112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4"/>
                <w:szCs w:val="24"/>
                <w:color w:val="auto"/>
              </w:rPr>
            </w:pPr>
          </w:p>
        </w:tc>
        <w:tc>
          <w:tcPr>
            <w:tcW w:w="342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RBC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198"/>
        </w:trPr>
        <w:tc>
          <w:tcPr>
            <w:tcW w:w="4140" w:type="dxa"/>
            <w:vAlign w:val="bottom"/>
            <w:gridSpan w:val="3"/>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rPr>
              <w:t>5.00% Series A Mandatory Convertible Preferred</w:t>
            </w:r>
          </w:p>
        </w:tc>
        <w:tc>
          <w:tcPr>
            <w:tcW w:w="80" w:type="dxa"/>
            <w:vAlign w:val="bottom"/>
          </w:tcPr>
          <w:p>
            <w:pPr>
              <w:spacing w:after="0"/>
              <w:rPr>
                <w:sz w:val="17"/>
                <w:szCs w:val="17"/>
                <w:color w:val="auto"/>
              </w:rPr>
            </w:pPr>
          </w:p>
        </w:tc>
        <w:tc>
          <w:tcPr>
            <w:tcW w:w="3420" w:type="dxa"/>
            <w:vAlign w:val="bottom"/>
            <w:gridSpan w:val="6"/>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w w:val="99"/>
              </w:rPr>
              <w:t>RBCP</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Stock, par value $0.01 per share</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09" w:right="339" w:bottom="0" w:gutter="0" w:footer="0" w:header="0"/>
        </w:sectPr>
      </w:pPr>
    </w:p>
    <w:p>
      <w:pPr>
        <w:spacing w:after="0" w:line="135" w:lineRule="exact"/>
        <w:rPr>
          <w:sz w:val="24"/>
          <w:szCs w:val="24"/>
          <w:color w:val="auto"/>
        </w:rPr>
      </w:pPr>
    </w:p>
    <w:p>
      <w:pPr>
        <w:ind w:left="6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2560" w:space="720"/>
            <w:col w:w="1980" w:space="720"/>
            <w:col w:w="5260"/>
          </w:cols>
          <w:pgMar w:left="320" w:top="509" w:right="339" w:bottom="0" w:gutter="0" w:footer="0" w:header="0"/>
          <w:type w:val="continuous"/>
        </w:sectPr>
      </w:pPr>
    </w:p>
    <w:p>
      <w:pPr>
        <w:spacing w:after="0" w:line="37" w:lineRule="exact"/>
        <w:rPr>
          <w:sz w:val="24"/>
          <w:szCs w:val="24"/>
          <w:color w:val="auto"/>
        </w:rPr>
      </w:pPr>
    </w:p>
    <w:p>
      <w:pPr>
        <w:ind w:left="6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860" w:space="420"/>
            <w:col w:w="7960"/>
          </w:cols>
          <w:pgMar w:left="320" w:top="509" w:right="339" w:bottom="0" w:gutter="0" w:footer="0" w:header="0"/>
          <w:type w:val="continuous"/>
        </w:sectPr>
      </w:pPr>
    </w:p>
    <w:p>
      <w:pPr>
        <w:spacing w:after="0" w:line="77"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180340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September 30, 2023 (based on the September 29, 2023 closing sales price of $234.13 of the registrant’s Common Stock, as reported by the New York Stock Exchange) was approximately $6,809,508,876.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10, 2024, RBC Bearings Incorporated had 29,211,612 shares of Common Stock and 4,600,000 shares of Preferred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within 120 days of the close of the registrant’s fiscal year in connection with the registrant’s Annual Meeting of Shareholders to be held September 5, 2024, are incorporated by reference into Part III of this Form 10-K.</w:t>
      </w:r>
    </w:p>
    <w:p>
      <w:pPr>
        <w:spacing w:after="0" w:line="162" w:lineRule="exact"/>
        <w:rPr>
          <w:sz w:val="20"/>
          <w:szCs w:val="20"/>
          <w:color w:val="auto"/>
        </w:rPr>
      </w:pPr>
    </w:p>
    <w:p>
      <w:pPr>
        <w:ind w:left="1000"/>
        <w:spacing w:after="0"/>
        <w:tabs>
          <w:tab w:leader="none" w:pos="4320" w:val="left"/>
          <w:tab w:leader="none" w:pos="8200" w:val="left"/>
        </w:tabs>
        <w:rPr>
          <w:sz w:val="20"/>
          <w:szCs w:val="20"/>
          <w:color w:val="auto"/>
        </w:rPr>
      </w:pPr>
      <w:r>
        <w:rPr>
          <w:rFonts w:ascii="Times New Roman" w:cs="Times New Roman" w:eastAsia="Times New Roman" w:hAnsi="Times New Roman"/>
          <w:sz w:val="18"/>
          <w:szCs w:val="18"/>
          <w:color w:val="auto"/>
        </w:rPr>
        <w:t>Auditor Firm ID: 00042</w:t>
      </w:r>
      <w:r>
        <w:rPr>
          <w:sz w:val="20"/>
          <w:szCs w:val="20"/>
          <w:color w:val="auto"/>
        </w:rPr>
        <w:tab/>
      </w:r>
      <w:r>
        <w:rPr>
          <w:rFonts w:ascii="Times New Roman" w:cs="Times New Roman" w:eastAsia="Times New Roman" w:hAnsi="Times New Roman"/>
          <w:sz w:val="18"/>
          <w:szCs w:val="18"/>
          <w:color w:val="auto"/>
        </w:rPr>
        <w:t>Auditor Name: Ernst &amp; Young LLP</w:t>
      </w:r>
      <w:r>
        <w:rPr>
          <w:sz w:val="20"/>
          <w:szCs w:val="20"/>
          <w:color w:val="auto"/>
        </w:rPr>
        <w:tab/>
      </w:r>
      <w:r>
        <w:rPr>
          <w:rFonts w:ascii="Times New Roman" w:cs="Times New Roman" w:eastAsia="Times New Roman" w:hAnsi="Times New Roman"/>
          <w:sz w:val="18"/>
          <w:szCs w:val="18"/>
          <w:color w:val="auto"/>
        </w:rPr>
        <w:t>Auditor Location: Stamford, 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796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0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89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tcPr>
          <w:p>
            <w:pPr>
              <w:spacing w:after="0"/>
              <w:rPr>
                <w:sz w:val="18"/>
                <w:szCs w:val="18"/>
                <w:color w:val="auto"/>
              </w:rPr>
            </w:pPr>
          </w:p>
        </w:tc>
      </w:tr>
      <w:tr>
        <w:trPr>
          <w:trHeight w:val="216"/>
        </w:trPr>
        <w:tc>
          <w:tcPr>
            <w:tcW w:w="1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shd w:val="clear" w:color="auto" w:fill="CCEEFF"/>
          </w:tcPr>
          <w:p>
            <w:pPr>
              <w:spacing w:after="0"/>
              <w:rPr>
                <w:sz w:val="18"/>
                <w:szCs w:val="18"/>
                <w:color w:val="auto"/>
              </w:rPr>
            </w:pPr>
          </w:p>
        </w:tc>
      </w:tr>
      <w:tr>
        <w:trPr>
          <w:trHeight w:val="216"/>
        </w:trPr>
        <w:tc>
          <w:tcPr>
            <w:tcW w:w="1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20" w:type="dxa"/>
            <w:vAlign w:val="bottom"/>
          </w:tcPr>
          <w:p>
            <w:pPr>
              <w:spacing w:after="0"/>
              <w:rPr>
                <w:sz w:val="18"/>
                <w:szCs w:val="18"/>
                <w:color w:val="auto"/>
              </w:rPr>
            </w:pPr>
          </w:p>
        </w:tc>
      </w:tr>
      <w:tr>
        <w:trPr>
          <w:trHeight w:val="216"/>
        </w:trPr>
        <w:tc>
          <w:tcPr>
            <w:tcW w:w="1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89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Related Transactions and Director Independence</w:t>
            </w:r>
          </w:p>
        </w:tc>
        <w:tc>
          <w:tcPr>
            <w:tcW w:w="1120" w:type="dxa"/>
            <w:vAlign w:val="bottom"/>
            <w:shd w:val="clear" w:color="auto" w:fill="CCEEFF"/>
          </w:tcPr>
          <w:p>
            <w:pPr>
              <w:spacing w:after="0"/>
              <w:rPr>
                <w:sz w:val="18"/>
                <w:szCs w:val="18"/>
                <w:color w:val="auto"/>
              </w:rPr>
            </w:pPr>
          </w:p>
        </w:tc>
      </w:tr>
      <w:tr>
        <w:trPr>
          <w:trHeight w:val="216"/>
        </w:trPr>
        <w:tc>
          <w:tcPr>
            <w:tcW w:w="1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12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89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RBC Bearings Incorporated, together with its subsidiaries, is an international manufacturer and marketer of highly engineered precision bearings, components and essential systems for the industrial, defense and aerospace industries. Our precision solutions are integral to the manufacture and operation of most machines and mechanical systems, to reduce wear to moving parts, facilitate proper power transmission, reduce damage and energy loss caused by friction, and control pressure and flow. The terms “we,” “us,” “our,” “RBC” and the “Company” mean RBC Bearings Incorporated and its subsidiaries, unless the context indicates another meaning. While we manufacture products in all major categories, we focus primarily on the higher end of the bearing, gearing and engineered component markets where we believe our value-added engineering and manufacturing capabilities, and application expertise enable us to differentiate ourselves from our competitors and enhance profitability. We believe our expertise has enabled us to garner leading positions in many of the product markets in which we primarily compete. With 54 facilities in 11 countries, of which 38 are manufacturing facilities, we have been able to significantly broaden our end markets, products, customer base and geographic reach.</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quantitative data contained in this Annual Report on Form 10-K (the “Annual Report”) is stated in millions, except for share and per-share data, number of facilities and their locations, square footage, and headcount.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Bearing, Gearing and Engineered Component Industry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bearing, gearing and engineered component industry is a fragmented multi-billion-dollar market. Purchasers of bearings, gearings and engineered components include producers of commercial and military aircraft, submarine and vehicle equipment, energy equipment, machinery manufacturers, industrial equipment and machinery manufacturers, construction machinery manufacturers, rail and train equipment manufacturers, packaging and canning machinery manufacturers, agriculture and mining equipment manufacturers, and specialized equipment manufacturers, as well as distributors who service the aftermarket for these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Demand for bearings, gearing and precision components in the diversified industrial market is influenced by growth factors in industrial machinery and equipment shipments, and construction, mining, energy, food and beverage, packaging and canning, semiconductor, and general industrial activity. In addition, usage of existing machinery will impact aftermarket demand for replacement products. In the aerospace market, new aircraft build rates along with carrier traffic volume worldwide determines demand for our solutions. Activity in the defense market is influenced by modernization programs necessitating spending on new equipment, as well as continued utilization of deployed equipment supporting aftermarket demand for replacement bearings, gearing and engineered components.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serve a broad range of end markets where we can add value with our specialty precision bearings, essential systems and engineered components. We classify our customers into two principal categories: industrial and aerospace/defense. These principal end markets utilize a large number of both commercial and specialized bearings, gearings and engineered components. Although we provide a relatively small percentage of total bearings, gearings and engineered components supplied to each of our principal markets, we believe we have leading market positions in many of the specialized product markets in which we primarily compete. Financial information regarding geographic areas is set forth in Part II, Item 8, Note 20 of this Annual Report on Form 10-K.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Industrial Market (67% of net sales for the fiscal year ended March 30,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manufacture bearings, gearing and engineered components for a wide range of diversified industrial markets, including construction and mining, oil and natural resource extraction, heavy truck, aggregates, rail and train, food and beverage, packaging and canning, material handling, semiconductor machinery, wind, and the general industrial markets. Our products target market applications in which our engineering and manufacturing capabilities provide us with a competitive advantage in the marketplace.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Our largest industrial customers include Caterpillar, Komatsu and Halliburton and various aftermarket distributors including Motion Industries, Applied Industrial, Baldwin Supply, BDI and Purvis Industries. We believe that the diversification of our sales among the various segments of the industrial markets and channels reduces our exposure to downturns in any individual segment. We believe opportunities exist for growth and margin improvement in this market as a result of the introduction of new products, the expansion of aftermarket sales, and continued manufacturing process improvements.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Aerospace/Defense Market (33% of net sales for the fiscal year ended March 30, 2024)</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supply bearings and engineered components for use in commercial, private and military aircraft and aircraft engines, guided weaponry, space and satellites, vision and optical systems, and military marine and ground applications.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supply precision products for many of the commercial aircraft currently operating worldwide and are the primary bearing supplier for many of the aircraft OEMs’ product lines. Commercial aerospace customers generally require precision products, often of special materials, made to unique designs and specifications. Many of our aerospace bearings and engineered component products are designed and certified during the original development of the aircraft being served, which often makes us the primary bearing supplier for the life of that aircraft.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manufacture bearings and engineered components used by the U.S. Department of Defense (the “DOD”) and certain foreign governments for use in fighter jets, troop transports, naval vessels, helicopters, gas turbine engines, armored vehicles, guided weaponry, spaceflight and satellites. We manufacture an extensive line of standard products that conform to many domestic military application requirements, as well as customized products designed for unique applications. Our bearings and engineered components are manufactured to conform to U.S. military specifications and are typically custom-designed during the original product design phase, which often makes us the sole or primary supplier for the life of that product. Product approval for use on military equipment is often a lengthy process ranging from six months to six years.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largest aerospace and defense customers include the U.S. Department of Defense, Boeing, Airbus, Newport News Shipbuilding, Lockheed Martin, Northrop Grumman, Raytheon, Blue Origin and SpaceX and various aftermarket distributors including National Precision Bearing and Wencor. We believe our strong relationships with OEMs help drive our aftermarket sales since a portion of OEM sales are ultimately intended for use as replacement parts. We believe that growth and margin expansion in this market will be driven primarily by expanding our international presence, new commercial aircraft introductions, new products, share gains, and the refurbishment and maintenance of existing commercial and military aircraft.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fiscal 2024, approximately 2% of our net sales were made directly, and we estimate that approximately an additional 9% of our net sales were made indirectly, to the U.S. government. The contracts or subcontracts for these sales may be subject to renegotiation of profit or termination at the election of the U.S. government. Based on experience, we believe that no material renegotiations or refunds will be required. See Part I, Item 1A. “Risk Factors – Future reductions or changes in U.S. government spending could negatively affect our business” of this Annual Report on Form 10-K.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two reportable business segments are aligned with the end-markets for our products. Operating results for the segments are evaluated regularly by our chief operating decision maker in determining resource allocation and assessing performance. The following table provides a summary of our two reportable business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Net Sales and Percent of Sales for the Fiscal Year Ended</w:t>
            </w: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millions)</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Pr>
          <w:p>
            <w:pPr>
              <w:spacing w:after="0"/>
              <w:rPr>
                <w:sz w:val="21"/>
                <w:szCs w:val="21"/>
                <w:color w:val="auto"/>
              </w:rPr>
            </w:pPr>
          </w:p>
        </w:tc>
      </w:tr>
      <w:tr>
        <w:trPr>
          <w:trHeight w:val="194"/>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45"/>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4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Representative Applications</w:t>
            </w:r>
          </w:p>
        </w:tc>
      </w:tr>
      <w:tr>
        <w:trPr>
          <w:trHeight w:val="184"/>
        </w:trPr>
        <w:tc>
          <w:tcPr>
            <w:tcW w:w="1900" w:type="dxa"/>
            <w:vAlign w:val="bottom"/>
            <w:tcBorders>
              <w:top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1,040.9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1,039.0</w:t>
            </w:r>
          </w:p>
        </w:tc>
        <w:tc>
          <w:tcPr>
            <w:tcW w:w="2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561.4</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4260" w:type="dxa"/>
            <w:vAlign w:val="bottom"/>
            <w:tcBorders>
              <w:top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Mining, energy, aggregates, construction, wind equipment</w:t>
            </w:r>
          </w:p>
        </w:tc>
      </w:tr>
      <w:tr>
        <w:trPr>
          <w:trHeight w:val="230"/>
        </w:trPr>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material handling</w:t>
            </w:r>
          </w:p>
        </w:tc>
      </w:tr>
      <w:tr>
        <w:trPr>
          <w:trHeight w:val="216"/>
        </w:trPr>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Packaging and canning machinery</w:t>
            </w:r>
          </w:p>
        </w:tc>
      </w:tr>
      <w:tr>
        <w:trPr>
          <w:trHeight w:val="216"/>
        </w:trPr>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Semiconductor equipment</w:t>
            </w:r>
          </w:p>
        </w:tc>
      </w:tr>
      <w:tr>
        <w:trPr>
          <w:trHeight w:val="273"/>
        </w:trPr>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Industrial gears, components and collets</w:t>
            </w:r>
          </w:p>
        </w:tc>
      </w:tr>
      <w:tr>
        <w:trPr>
          <w:trHeight w:val="198"/>
        </w:trPr>
        <w:tc>
          <w:tcPr>
            <w:tcW w:w="20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Aerospace/Defense</w:t>
            </w: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519.4</w:t>
            </w:r>
          </w:p>
        </w:tc>
        <w:tc>
          <w:tcPr>
            <w:tcW w:w="380" w:type="dxa"/>
            <w:vAlign w:val="bottom"/>
            <w:tcBorders>
              <w:top w:val="single" w:sz="8" w:color="auto"/>
            </w:tcBorders>
            <w:gridSpan w:val="2"/>
          </w:tcPr>
          <w:p>
            <w:pPr>
              <w:jc w:val="right"/>
              <w:ind w:right="7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430.3</w:t>
            </w:r>
          </w:p>
        </w:tc>
        <w:tc>
          <w:tcPr>
            <w:tcW w:w="280" w:type="dxa"/>
            <w:vAlign w:val="bottom"/>
            <w:tcBorders>
              <w:top w:val="single" w:sz="8" w:color="auto"/>
            </w:tcBorders>
            <w:gridSpan w:val="2"/>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381.5</w:t>
            </w:r>
          </w:p>
        </w:tc>
        <w:tc>
          <w:tcPr>
            <w:tcW w:w="440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 Airframe control and actuation</w:t>
            </w: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Aircraft engine controls and landing gear</w:t>
            </w: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Missile launchers</w:t>
            </w: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Radar and night vision systems</w:t>
            </w: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Hydraulics and valves</w:t>
            </w:r>
          </w:p>
        </w:tc>
      </w:tr>
      <w:tr>
        <w:trPr>
          <w:trHeight w:val="234"/>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Space applications</w:t>
            </w:r>
          </w:p>
        </w:tc>
      </w:tr>
      <w:tr>
        <w:trPr>
          <w:trHeight w:val="34"/>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655"/>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Bearings, gearing and engineered components are employed to perform several functions including reduction of friction, transfer of motion, carriage of loads, and control of pressure and flows. We design, manufacture and market a broad portfolio of bearings, gearing and engineered components.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Plain Bearings. </w:t>
      </w:r>
      <w:r>
        <w:rPr>
          <w:rFonts w:ascii="Times New Roman" w:cs="Times New Roman" w:eastAsia="Times New Roman" w:hAnsi="Times New Roman"/>
          <w:sz w:val="18"/>
          <w:szCs w:val="18"/>
          <w:color w:val="auto"/>
        </w:rPr>
        <w:t>Plain bearings are primarily used to rectify inevitable misalignments in various mechanical components, such as aircraft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helicopter rotors, or heavy mining and construction equipment. Such misalignments are either due to machining inaccuracies or result when components change position relative to each other. Plain bearings are produced with either self-lubricating or metal-to-metal designs and consist of several sub-classes, including rod end bearings, spherical plain bearings and journal bearings.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Roller Bearings. </w:t>
      </w:r>
      <w:r>
        <w:rPr>
          <w:rFonts w:ascii="Times New Roman" w:cs="Times New Roman" w:eastAsia="Times New Roman" w:hAnsi="Times New Roman"/>
          <w:sz w:val="18"/>
          <w:szCs w:val="18"/>
          <w:color w:val="auto"/>
        </w:rPr>
        <w:t>Roller bearings are anti-friction products that utilize cylindrical rolling elements. We produce three main designs: tapered roller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bearings, needle roller bearings and needle bearing track rollers, and cam followers. We offer several needle roller bearing designs that are used in both industrial applications and certain U.S. military aircraft platforms where there are high loads and the design is constrained by space considerations. A significant portion of our sales of needle roller bearings is to the aftermarket rather than to OEMs. Needle bearing track rollers and cam followers have wide and diversified use in the industrial market and are often prescribed as a primary component in articulated aircraft wings.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Ball Bearings. </w:t>
      </w:r>
      <w:r>
        <w:rPr>
          <w:rFonts w:ascii="Times New Roman" w:cs="Times New Roman" w:eastAsia="Times New Roman" w:hAnsi="Times New Roman"/>
          <w:sz w:val="18"/>
          <w:szCs w:val="18"/>
          <w:color w:val="auto"/>
        </w:rPr>
        <w:t>Ball bearings are devices that utilize high precision ball elements to reduce friction in high-speed applications. We specialize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 main types of ball bearings: high precision aerospace, airframe control, thin section, and industrial ball bearings. High precision aerospace bearings are primarily sold to customers in the defense industry that require more technically sophisticated bearing products providing a high degree of fault tolerance given the criticality of the applications in which they are used. Airframe control ball bearings are precision ball bearings that are plated to resist corrosion and are qualified under a military specification. Thin section ball bearings are specialized bearings that use extremely thin cross sections and give specialized machinery manufacturers many advantages. We produce a general line of industrial ball bearings sold primarily to the aftermarket.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Mounted Bearings</w:t>
      </w:r>
      <w:r>
        <w:rPr>
          <w:rFonts w:ascii="Times New Roman" w:cs="Times New Roman" w:eastAsia="Times New Roman" w:hAnsi="Times New Roman"/>
          <w:sz w:val="18"/>
          <w:szCs w:val="18"/>
          <w:color w:val="auto"/>
        </w:rPr>
        <w:t>. Mounted bearings are fully assembled bearings with a wide range of shaft attachment methods, rolling elements,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configurations offering a variety of sealing solutions. Mounted bearing products include mounted ball bearings, mounted roller bearings and mounted plain bearings, and are used in light to heavy loads, and in clean, corrosive or harsh environments. Mounted roller bearings are pre-machined to allow field installation of the Dodge bearing sensor, adding remote monitoring capability in difficult to access applications and unsafe environments. Applications include unit and bulk material handling, industrial air handling, large rotor fans, food processing, roll-out tables, and forest pulp and paper processing equipment.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Enclosed Gearing. </w:t>
      </w:r>
      <w:r>
        <w:rPr>
          <w:rFonts w:ascii="Times New Roman" w:cs="Times New Roman" w:eastAsia="Times New Roman" w:hAnsi="Times New Roman"/>
          <w:sz w:val="18"/>
          <w:szCs w:val="18"/>
          <w:color w:val="auto"/>
        </w:rPr>
        <w:t>We provide a broad range of enclosed gearing product lines including Quantis Gearmotor (helical style gearing with modular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configurations and a variety of mounting methods), Torque Arm (shaft-mount gearing with helical style gearing and v-belt input for first stage reduction), Tigear (single reduction, right angle gear reducers with worm style gearing), MagnaGear &amp; Maxum (parallel reducers with helical and planetary style gearing) and Controlled Start Transmission (planetary style gearing with hydraulic clutch package used for soft starting large conveyors). Applications include unit and bulk handling, food processing, roll-out tables, and forest pulp and paper processing equipment.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Motion Control Components. </w:t>
      </w:r>
      <w:r>
        <w:rPr>
          <w:rFonts w:ascii="Times New Roman" w:cs="Times New Roman" w:eastAsia="Times New Roman" w:hAnsi="Times New Roman"/>
          <w:sz w:val="18"/>
          <w:szCs w:val="18"/>
          <w:color w:val="auto"/>
        </w:rPr>
        <w:t>Power transmission components are of three types: mechanical drive components (offering V belt sheaves,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synchronous sprockets, bushings and belts) used to change rotational speed between two pieces of equipment; couplings used to transmit torque between two rotating pieces of equipment, such as a motor and a gearbox; and conveyor components, which transfer torque from the mechanical drive equipment to the conveyor belt in bulk material handling applications. Applications include unit and bulk material handling, industrial air handling, large rotor fans, food processing, roll-out tables, and forest pulp and paper processing equipment. We also provide actuation components to customers within our commercial aerospace and space markets.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Engineered Components. </w:t>
      </w:r>
      <w:r>
        <w:rPr>
          <w:rFonts w:ascii="Times New Roman" w:cs="Times New Roman" w:eastAsia="Times New Roman" w:hAnsi="Times New Roman"/>
          <w:sz w:val="18"/>
          <w:szCs w:val="18"/>
          <w:color w:val="auto"/>
        </w:rPr>
        <w:t>Engineered components include highly engineered hydraulics and valves, fasteners, precision mechanical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machine tool collets. Engineered hydraulics and valves are used in aircraft and submarine applications and aerospace and defense aftermarket services. Precision mechanical components are used in all general industrial applications where some form of movement is required. Machine tool collets are cone-shaped metal sleeves used for holding circular or rod-like pieces in a lathe or other machine that provide effective part holding and accurate part location during machining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Product Design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produce specialized bearings and engineered components that are often tailored to the specifications of a customer or application. Our sales professionals are highly experienced engineers who collaborate with our customers to develop bearing and engineered component solutions. The product development cycle can follow many paths, which are dependent on the end market or sales channel. The process normally takes between three and six years from concept to sale depending upon the application and the market. A typical process for a major OEM project begins when our design engineers meet with the customer at the machine design conceptualization stage and work with them through the conclusion of the product development.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Often, at the early stage, a bearing or engineered component design is produced that addresses the expected demands of the application including load, stress, heat, thermal gradients, vibration, lubricant supply, pressure and flows, and corrosion resistance, with one or two of these environmental constraints being predominant in the design consideration. A bearing or engineered component design must perform reliably for the period of time required by the customer’s product objectives.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a bearing or engineered component is designed, a mathematical simulation is created to replicate the expected application environment and thereby allow optimization with respect to these design variables. Upon conclusion of the design and simulation phase, samples are produced and laboratory testing commences at one of our test laboratories. The purpose of this testing phase is not only to verify the design and the simulation model but also to allow further design improvement where needed. The last phase is field testing by the customer, after which the product is ready for sale.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many of our Aerospace/Defense products, the culmination of this lengthy process is the receipt of a product approval or certification, generally obtained from either the OEM, the DOD or the Federal Aviation Administration (“FAA”), which allows us to supply the product to the OEM customer and to the aftermarket. We currently have a significant number of such approvals, which often gives us a competitive advantage, and in many of these instances we are the only approved supplier of a given bearing or engineered component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manufacturing strategies are focused on product reliability, quality, safety and service. Custom and standard products are produced according to manufacturing schedules that ensure maximum availability of popular items for immediate sale while carefully considering the economies of lot production and special products. Capital programs and manufacturing methods development are focused on quality improvement, production costs, safety and service. A monthly review of product line production performance assures an environment of continuous attainment of profitability and quality goals.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Capacity. </w:t>
      </w:r>
      <w:r>
        <w:rPr>
          <w:rFonts w:ascii="Times New Roman" w:cs="Times New Roman" w:eastAsia="Times New Roman" w:hAnsi="Times New Roman"/>
          <w:sz w:val="18"/>
          <w:szCs w:val="18"/>
          <w:color w:val="auto"/>
        </w:rPr>
        <w:t>Our plants currently run on a full first shift with second and third shifts at select locations to meet the demands of our customers.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current capacity levels and future annual estimated capital expenditures on equipment up to approximately 3.0% to 3.5% of net sales should permit us to effectively meet demand levels for the foreseeable future.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Inventory Management. </w:t>
      </w:r>
      <w:r>
        <w:rPr>
          <w:rFonts w:ascii="Times New Roman" w:cs="Times New Roman" w:eastAsia="Times New Roman" w:hAnsi="Times New Roman"/>
          <w:sz w:val="18"/>
          <w:szCs w:val="18"/>
          <w:color w:val="auto"/>
        </w:rPr>
        <w:t>We operate an inventory management program designed to balance customer delivery requirements with economically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inventory levels. In this program, each product is categorized based on characteristics including order frequency, number of customers and sales volume. Using this classification system, our primary goal is to maintain a sufficient supply of standard items while minimizing costs. In addition, production cost savings are achieved by optimizing plant scheduling around inventory levels and customer delivery requirements. This leads to more efficient utilization of manufacturing facilities and minimizes plant production changes while maintaining sufficient inventories to service customer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marketing strategy is aimed at increasing sales within our two primary markets, targeting specific applications in which we can exploit our competitive strengths. To affect this strategy, we seek to expand into geographic areas not previously served by us and we continue to capitalize on new markets and industries for existing and new products. We employ a technically proficient sales force and utilize marketing managers, product managers, customer service representatives and product application engineers in our selling efforts.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our sales force through the hiring of sales personnel with prior industry experience, complemented by an in-house training program. We intend to continue to hire and develop expert sales professionals and strategically locate them to implement our expansion strategy. Today, our direct sales force is located to service North America, Europe, Asia, Australia and Latin America and is responsible for selling all of our products. This selling model leverages our relationship with key customers and provides opportunities to market multiple product lines to both established and potential customers. We also sell our products through a well-established, global network of industrial and aerospace distributors. This channel primarily provides our products to smaller OEM customers, aftermarket customers and the end users of bearings and engineered components that require local inventory and service. We intend to continue to focus on building distributor sales volume.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joint venture in North America focused on joint warehouse and transportation logistics and e-business services. This joint venture, CoLinx, LLC (“CoLinx”), includes five equity members: Timken, SKF Group, Schaeffler Group, RBC Bearings Incorporated and Gates Industrial Corp. The e-business service focuses on information and business services for authorized distributors in the Industrial segment.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 of our products is supported by a well-trained and experienced customer service organization, which provides customers with instant access to key information regarding their purchases. We also provide customers with updated information through our website, and we have developed on-line integration with specific customers, enabling more efficient ordering and timely order fulfillment for those customers.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store product inventory in warehouses located in the Midwest, Southwest and on the East and West coasts of the U.S. as well as in Australia, Canada, France, India, Mexico, the People’s Republic of China, England and Switzerland. The inventory is located in these locations based on analysis of customer demand to provide superior service and product availability.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competitors include SKF, New Hampshire Ball Bearings, Regal Rexnord, NORD and Timken, although we compete with different companies for each of our product lines. We believe that for the majority of our products, the principal competitive factors affecting our business are product qualifications, product line breadth, service, quality and price. Although some of our current and potential competitors may have greater financial, marketing, personnel and other resources than us, we believe that we are well-positioned to compete with regard to each of these factors in each of the markets in which we operate.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Qualifications. </w:t>
      </w:r>
      <w:r>
        <w:rPr>
          <w:rFonts w:ascii="Times New Roman" w:cs="Times New Roman" w:eastAsia="Times New Roman" w:hAnsi="Times New Roman"/>
          <w:sz w:val="18"/>
          <w:szCs w:val="18"/>
          <w:color w:val="auto"/>
        </w:rPr>
        <w:t>Many of the products we produce are qualified for the application by the OEM, the DOD, the FAA, the user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these. These credentials have been achieved for thousands of distinct items after years of design, testing and improvement. Applicable Dodge products are compliant as required with related communications, safety, and Ex certifications for use in North America, Mexico, the EU, as well as other select international locations. Several of our products are protected by patents, and we believe that in many cases we have strong brand identity or we are the sole source for products for a particular application.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Line Breadth. </w:t>
      </w:r>
      <w:r>
        <w:rPr>
          <w:rFonts w:ascii="Times New Roman" w:cs="Times New Roman" w:eastAsia="Times New Roman" w:hAnsi="Times New Roman"/>
          <w:sz w:val="18"/>
          <w:szCs w:val="18"/>
          <w:color w:val="auto"/>
        </w:rPr>
        <w:t>Our products encompass a broad range of designs which often create a critical mass of complementary bearings, essential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engineered components for our markets. This position provides many of our industrial and aerospace customers with a single manufacturer to provide the engineering service and product breadth needed to achieve a series of OEM design objectives and/or aftermarket requirements. This enhances our value to the OEM considerably while strengthening our overall market position.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 </w:t>
      </w:r>
      <w:r>
        <w:rPr>
          <w:rFonts w:ascii="Times New Roman" w:cs="Times New Roman" w:eastAsia="Times New Roman" w:hAnsi="Times New Roman"/>
          <w:sz w:val="18"/>
          <w:szCs w:val="18"/>
          <w:color w:val="auto"/>
        </w:rPr>
        <w:t>Product design, performance, reliability, availability, quality, and technical and administrative support are elements that define the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for this business. Our customers are sophisticated and demanding, as our products are fundamental and enabling components to the manufacturing or operation of their machinery. We maintain inventory levels of our most popular items for immediate sale and service. Our customers have high expectations regarding product availability and quality, and the primary emphasis of our service efforts is to provide the widest possible range of available products delivered on a timely basis.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We believe our products are priced competitively in the markets we serve and we continually evaluate our manufacturing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maximize efficiencies in order to maintain competitive prices while maximizing our profit margins. We invest considerable effort to develop our price-to-value algorithms and we price to market levels where required by competitive pressures.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Investments in affiliated companies accounted for under the equity method at March 30, 2024 and April 1, 2023 were $0.6 and $0.6, respectively, and were reported within other noncurrent assets on the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Suppliers and Raw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obtain raw materials, component parts and supplies from a variety of sources and generally from more than one supplier. Our principal raw materials are steel and cast iron. Our suppliers and sources of raw materials are based in the U.S., Europe and Asia. We purchase steel at market prices, which fluctuate as a result of supply and demand driven by economic conditions in the marketplace. For further discussion of the possible effects of changes in the cost of raw materials on our business, see Part I, Item 1A. “Risk Factors”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order backlog, as of March 30, 2024, was $726.1 compared to $663.8 as of April 1, 2023. These figures exclude orders from our Sargent marine and Sargent aerospace businesses that are expected to be fulfilled more than 12 months after the balance sheet dates. Including all orders from our Sargent marine and Sargent aerospace businesses, our backlog as of March 30, 2024 was $821.5 compared to $759.4 as of April 1, 2023. Many of our orders are fulfilled immediately after the order has been placed by the customer and would not be seen in our backlog at the end of a reporting period. Orders included in our backlog are subject to cancellation, delay or modifications by our customers prior to fulfillment. We sell many of our products pursuant to contractual agreements, single-source relationships or long-term purchase orders, each of which may permit early termination by the customer. However, we believe that the unique nature of many of our products prevents other suppliers from being able to satisfy customer orders on a timely or cost-effective basis, thereby making it impracticable for our customers to shift their purchase of these products to other suppliers.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RBC employs 5,302 people worldwide. Of that, 3,738 are employed at our 35 U.S. facilities and 1,564 are employed at our 19 international facilities located in Canada, Mexico, France, Switzerland, Germany, Poland, India, Australia, China and England. The majority of our personnel are RBC employees rather than independent contractors, temporaries or third-party labor provider personnel.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human capital objective is to attract and retain high-performing people who can work in a culture that fosters innovation and continuous improvement. To achieve that objective, we maintain an aggressive talent recruitment program, a fair and competitive compensation program, an on-going training and development program, and an ethical and safe work environment.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 Recruitment. </w:t>
      </w:r>
      <w:r>
        <w:rPr>
          <w:rFonts w:ascii="Times New Roman" w:cs="Times New Roman" w:eastAsia="Times New Roman" w:hAnsi="Times New Roman"/>
          <w:sz w:val="18"/>
          <w:szCs w:val="18"/>
          <w:color w:val="auto"/>
        </w:rPr>
        <w:t>Critical to our success is that we have a deep and talented pool of engineers who oversee the production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the highest standards, work directly with customers on applications, and direct the research and development for new products. To maintain that talent pool, we actively recruit engineers from over 40 colleges and universities around the U.S. In addition, we have developed deep collaborative relationships with a select group of schools, including internship and trainee programs with several of these schools.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We offer fair and competitive compensation to our employees. Our employee benefits package includes medical, dental and 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life insurance, supplemental disability coverage, and 401(k) and supplemental employee retirement plans. In addition, participation in our long-term equity incentive plan goes very deep in our organization, providing employees with equity compensation/awards that they might not receive if they worked for one of our competitors.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An important part of achieving our human capital objective is our in-house training programs – RBC University, Materials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Mechanical Engineering Training and the Customer, Application, Product Training (CAPT) Program. These programs provide our employees with a uniform foundation regarding how we do business, expand their subject matter expertise, and develop the various leadership positions across our organization, including plant management and general management. We also offer a tuition reimbursement program for many employees wishing to further their classroom education in their chosen field.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Ethics. </w:t>
      </w:r>
      <w:r>
        <w:rPr>
          <w:rFonts w:ascii="Times New Roman" w:cs="Times New Roman" w:eastAsia="Times New Roman" w:hAnsi="Times New Roman"/>
          <w:sz w:val="18"/>
          <w:szCs w:val="18"/>
          <w:color w:val="auto"/>
        </w:rPr>
        <w:t>We expect our personnel to conduct the business of RBC in a legal and ethical manner. To ensure that they do that, our people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comply at all times with our corporate Code of Conduct, which among other things requires them to:</w:t>
      </w:r>
    </w:p>
    <w:p>
      <w:pPr>
        <w:spacing w:after="0" w:line="16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fairly with their coworkers and RBC’s customers, suppliers and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RBC’s proprietary information and other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conflicts of interest with RBC.</w:t>
      </w:r>
    </w:p>
    <w:p>
      <w:pPr>
        <w:spacing w:after="0" w:line="22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Workplace Safety. </w:t>
      </w:r>
      <w:r>
        <w:rPr>
          <w:rFonts w:ascii="Times New Roman" w:cs="Times New Roman" w:eastAsia="Times New Roman" w:hAnsi="Times New Roman"/>
          <w:sz w:val="18"/>
          <w:szCs w:val="18"/>
          <w:color w:val="auto"/>
        </w:rPr>
        <w:t>Safety is of paramount importance to RBC and so we go to great lengths in striving for a zero-incident workplace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our mandate to produce the highest quality, highly engineered components for our customers. Our general managers and operations managers are charged with creating and maintaining the highest standards of safety for employees, visitors and the local community through the use of industry best practices at their facilities. Monthly, each of our facilities reports to senior leadership on key safety metrics and we maintain a proactive approach in assessing and mitigating risk through root cause analysis, communication, training and teamwork.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own U.S. and foreign patents and trademark registrations and U.S. copyright registrations and have U.S. trademark and patent applications pending. We file patent applications and maintain patents to protect certain technology, inventions and improvements that are important to the development of our business, and we file trademark applications and maintain trademark registrations to protect product names that have achieved brand-name recognition among our customers. We also rely upon trade secrets, know-how and continuing technological innovation to develop and maintain our competitive position. Many of our brands are well recognized by our customers and are considered valuable assets of our business. We do not believe, however, that any individual item of intellectual property is material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Approvals. </w:t>
      </w:r>
      <w:r>
        <w:rPr>
          <w:rFonts w:ascii="Times New Roman" w:cs="Times New Roman" w:eastAsia="Times New Roman" w:hAnsi="Times New Roman"/>
          <w:sz w:val="18"/>
          <w:szCs w:val="18"/>
          <w:color w:val="auto"/>
        </w:rPr>
        <w:t>Essential to servicing the aerospace and defense markets is the ability to obtain product approvals. We have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product approvals in the form of OEM approvals or Parts Manufacturer Approvals, or “PMAs,” from the FAA. We also have a number of active PMA applications in process. These approvals enable us to provide products used in virtually all domestic aircraft platforms presently in production or operation.</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various other federal laws, regulations and standards. New laws, regulations or standards or changes to existing laws, regulations or standards could subject us to significant additional costs of compliance or liabilities, and could result in material reductions to our results of operations, cash flow or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including those governing discharges of pollutants into the air and water, the storage, handling and disposal of wastes and the health and safety of employees. We also may be liable under the Comprehensive Environmental Response, Compensation, and Liability Act or similar state laws for the costs of investigation and clean-up of contamination at facilities currently or formerly owned or operated by us, or at other facilities at which we have disposed of hazardous substances. In connection with such contamination, we may also be liable for natural resource damages, U.S. government penalties and claims by third parties for personal injury and property damage. Agencies responsible for enforcing these laws have authority to impose significant civil or criminal penalties for non-compliance. We believe we are currently in material compliance with all applicable requirements of environmental laws. We do not anticipate material capital expenditures for environmental compliance in fiscal year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file our annual, quarterly and current reports, proxy statements, and other documents with the Securities Exchange Commission (“SEC”) under the Securities Exchange Act of 1934. The public may read and copy any materials filed with the SEC at the SEC’s Office of Investor Education and Advocacy at 100F Street, NE, Washington, D.C. 20549. The public may obtain information on the operation of the Office of Investor Education and Advocacy by calling the SEC at 1–800–SEC–0330. Also, the SEC maintains an Internet website that contains reports, proxy and information statements, and other information regarding issuers that file electronically with the SEC. The public can obtain any documents that are filed by us at http://www.sec.gov.</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this Annual Report on Form 10-K, as well as our quarterly reports on Form 10-Q, current reports on Form 8-K, any amendments to any of the foregoing reports, and our governance documents, are made available free of charge on our website (http://</w:t>
      </w:r>
      <w:r>
        <w:rPr>
          <w:rFonts w:ascii="Times New Roman" w:cs="Times New Roman" w:eastAsia="Times New Roman" w:hAnsi="Times New Roman"/>
          <w:sz w:val="18"/>
          <w:szCs w:val="18"/>
          <w:u w:val="single" w:color="auto"/>
          <w:color w:val="auto"/>
        </w:rPr>
        <w:t>www.rbcbearings.com</w:t>
      </w:r>
      <w:r>
        <w:rPr>
          <w:rFonts w:ascii="Times New Roman" w:cs="Times New Roman" w:eastAsia="Times New Roman" w:hAnsi="Times New Roman"/>
          <w:sz w:val="18"/>
          <w:szCs w:val="18"/>
          <w:color w:val="auto"/>
        </w:rPr>
        <w:t>) as soon as reasonably practicable after such reports are electronically filed with or furnished to the SEC. Copies of the above reports and documents will also be provided free of charge upon written request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as to Forward-Looking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U.S. Private Securities Litigation Reform Act of 1995. All statements other than statements of historical fact are “forward-looking statements” for purposes of federal and state securities laws, including: projections of earnings, cash flows, revenue or other financial items; statements of the plans, strategies and objectives of management for future operations; statements concerning proposed new services or developments; statements regarding future economic conditions or performance or future growth rates in the markets we serve; statements regarding future raw material costs or supply; statements of belief; and statements of assumptions underlying any of the foregoing. Forward-looking statements may include the words “may,” “could,” “estimate,” “intend,” “plan,” “continue,” “believe,” “expect,” “anticipate” or other comparable terminology, or the negative of such terms.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and assumptions reflected in any of our forward-looking statements are reasonable, actual results could differ materially from those projected or assumed in any of our forward-looking statements. Our future financial condition, results of operations, and cash flows, as well as any forward-looking statements, are subject to change and to inherent risks and uncertainties, such as those disclosed in this Annual Report on Form 10-K. Factors that could cause our actual results, performance and achievements or industry results to differ materially from estimates or projections contained in forward-looking statements include, among others, the following:</w:t>
      </w:r>
    </w:p>
    <w:p>
      <w:pPr>
        <w:spacing w:after="0" w:line="18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effective disclosure controls and procedures and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bearings, engineered components and essential systems industries;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Weaknesses or cyclicality in any of the industries in which our customers operate;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reductions in U.S. governmental spending or changes in governmental programs, particularly military equipment procurement programs;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significant customers or conditions that adversely affect the business of any of our significant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product approvals;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costs of raw materials (particularly steel) and energy resources, the imposition of import tariffs, and our ability to pass through these costs on a timely basis;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integrate complementary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of acquired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equipment failures or catastrophic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our management team and other highly skilled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labor problems affecting us or our customers or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agreements or treaties and the imposition of tariffs on our goods exported to other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developments in the U.S. or in foreign countries where we produce or sell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utilizing information technology systems, including cyber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internationally, including currency translation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us and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orders in our backlog;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liability and recalls with respect to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substantial amount of goodwill that we have;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substantial amount of debt we incurred to finance the Dodge acquisition;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but not limited to those described from time to time in our current and quarterly reports filed with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and additional factors that could cause actual results to differ materially from our forward-looking statements are set forth in this Annual Report on Form 10-K under Part I, Item 1. “Business,” Part I, Item 1A. “Risk Factors,” Part II, Item 7. “Management’s Discussion and Analysis of Financial Condition and Results of Operations,” and Part II, Item 8. “Financial Statements and Supplementary Data.” All forward-looking statements contained in this report and any subsequently filed reports are expressly qualified in their entirety by these cautionary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duty to update any forward-looking statements after the date of this report to conform such statements to actual results or to changes in our expectations. You are advised, however, to review any disclosures we make on related subjects in our future periodic filings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operating results, cash flows or financial condition could be materially adversely affected by any of the following risks. The trading price of our common stock or preferred stock could decline due to any of these risks, and you could lose all or part of your investment. You should carefully consider these risks before investing in shares of our common stock or preferred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failure to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the Company’s financial condition and the trading price of our common stock.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in a company’s internal control over financial reporting is a deficiency, or a combination of deficiencies, in internal control over financial reporting such that there is a reasonable possibility that a material misstatement of that company’s annual or interim financial statements will not be prevented or detected on a timely basis.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year 2023, the Company’s management identified a material weakness in internal control over financial reporting related to the design of our control to consider all relevant terms within executive employment agreements and the related application of relevant authoritative accounting guidance for stock-based compensation, a non-cash item. Management then re-evaluated its assessment of the effectiveness of internal control over financial reporting and its disclosure controls and procedures and concluded that they were not effective as of April 2, 2022, making it necessary for the Company to restate the financial statements for fiscal years 2022, 2021 and 2020. Although we have remediated this material weakness, there can be no assurance that additional material weaknesses will not occur in the future.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unable to maintain effective internal control over financial reporting in the future, our ability to record, process and report financial information timely and accurately could be adversely affected, which could subject the Company to litigation or investigations, require management resources, increase costs, negatively affect investor confidence and adversely impact our stock price.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bearings, engineered components and essential systems industries are highly competitive, and competition could reduce our profitability or limit our ability to grow.</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global bearings, engineered components and essential systems industries are highly competitive, and we compete with many U.S. and non-U.S. companies, some of which benefit from lower labor costs and fewer regulatory burdens than us. We compete primarily based on product qualifications, product line breadth, service and price. Certain competitors may be better able to manage costs than us or may have greater financial resources than we have. Due to the competitiveness in the bearings, engineered components and essential systems industries we may not be able to increase prices for our products to cover increases in our costs, and we may face pressure to reduce prices, which could materially reduce our revenues, cash flows and profitability. Competitive factors, including changes in market penetration, increased price competition and the introduction of new products and technology by existing and new competitors, could result in a material reduction in our revenues, cash flows and profitability.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 major customer, or a material adverse change in a major customer’s business, could result in a material reduction in our revenues, cash flows and profitability.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top ten customers collectively accounted for approximately 44%, 41% and 36% of our net sales during fiscal 2024, 2023 and 2022, respectively. Accordingly, the loss of one or more of those customers or a substantial decrease in those customers’ purchases from us could result in a material reduction in our revenues, cash flows and profitability. If one of our major customers were to experience an adverse change in its business, that customer could reduce its purchases from us.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consolidation and combination of manufacturers could eliminate customers and/or put downward pricing pressures on sales of component parts. For example, the consolidation that has occurred in the defense industry in recent years has reduced the overall number of defense contractors. In addition, if one of our customers is acquired or merged with another entity, the new entity may discontinue using us as a supplier because of an existing business relationship between one of our competitors and the acquiring company, or because it may be more efficient to consolidate certain suppliers within the newly formed enterprise. The significance of the impact that such consolidations could have on our business is difficult to predict because we do not know when or if one or more of our customers will engage in merger or acquisition activity. However, if such activity involved our material customers it could materially impact our revenues, cash flows and profitability.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Weakness in any of the industries in which our customers operate, as well as the cyclical nature of our customers’ businesses generally, could materially reduce our revenues, cash flows and profitability.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mining and construction equipment and other diversified industrial industries to which we sell our products are, to varying degrees, cyclical and tend to decline in response to overall declines in industrial production. Margins in those industries are highly sensitive to demand cycles, and our customers (or our customers’ customers) in those industries historically have tended to delay large capital purchases and projects, including expensive maintenance and upgrades, during economic downturns. As a result, our business is also cyclical, and the demand for our products by these customers depends, in part, on overall levels of industrial production, general economic conditions, and business confidence levels. Many of our customers have historically experienced periodic downturns, which often have had a negative effect on demand for our products. Future downward economic cycles or customer downturns could reduce sales of our products resulting in reductions in our revenues, cash flows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reductions or changes in U.S. government spending could negatively affect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2024, approximately 2% of our net sales were made directly, and we estimate that approximately an additional 9% of our net sales were made indirectly, to the U.S. government to support military or other government projects. Our failure (or the failure of our customers that are prime contractors to the government) to obtain new government contracts, the cancellation of government contracts relating to our products, or reductions in federal budget appropriations for programs in which our products are used could materially reduce our revenues, cash flows and profitability. A reduction in federal budget appropriations relating to our products could result from a shift in government defense spending to other programs in which we are not involved or a reduction in U.S. government defense spending generally (due to budget reduction initiatives or a shift in government spending priorities).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Fluctuating supply and costs of subcomponents, raw materials and energy resources, or the imposition of import tariffs, could materially reduce our revenues, cash flows and profitability.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dependent on the availability and costs of subcomponents, raw materials, particularly steel (generally in the form of stainless and chrome steel, which are commodity steel products), and energy resources. The availability and prices of subcomponents, raw materials and energy resources may be subject to change due to, among other things, new laws or regulations, economic inflation, suppliers’ allocations to other purchasers, interruptions in production or deliveries by suppliers and changes in exchange rates and supplier costs and profit expectations. The United States has imposed tariffs on steel and aluminum imports, and could impose tariffs on other items that we import, which could increase the cost of raw materials and decrease the available supply. Although we currently maintain alternative supply sources, our business is subject to the risk of price fluctuations and periodic delays in the delivery of certain subcomponents or raw materials. Disruptions in the supply of subcomponents, raw materials or energy resources could temporarily impair our ability to manufacture our products for our customers or require us to pay higher prices in order to obtain these items from other sources, which could thereby affect our net sales and profitability.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our customer contracts permit us to do so, we seek to pass through a significant portion of our additional costs to our customers through steel surcharges or price increases. However, many of our contracts are fixed-price contracts under which we are not able to pass these additional costs on to our customers. Even where we are able to pass these steel surcharges or price increases to our customers, there may be a lag of several months between the time we experience a cost increase and the time we are able to implement surcharges or price increases, particularly for orders already in our backlog. Competitive pressures and the terms of certain of our long-term contracts may require us to absorb at least part of these cost increases. As a result, our gross margin percentage could decline. We cannot provide assurances that we will be able to continue to pass these additional costs on to our customers at all or on a timely basis or that our customers will not seek alternative sources of supply if there are significant or prolonged increases in the price of subcomponents or other raw materials or energy resources.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could be impacted by governmental trade policies and tariffs relating to our supplies imported from foreign vendors or our finished goods exported to other countries.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U.S. government has imposed tariffs on the importation of various products that we use to produce our finished goods, and various foreign countries, including the People’s Republic of China, have or could impose retaliatory tariffs on our products exported to those countries. While this situation has not had a material adverse effect on our business in the past, future tariffs on our foreign-sourced supplies and/or our finished goods exported to other countries could adversely impact our operating costs or demand for our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operations are subject to certain approvals and government regulations and the loss of such approvals, or our failure to comply with such regulations, could materially reduce our revenues, cash flows and profitability.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Essential to servicing the aerospace market is the ability to obtain product approvals. We have a substantial number of product approvals, which enable us to provide products used in virtually all domestic aircraft platforms presently in production or operation. Product approvals are typically issued by the FAA to designated OEMs who are Production Approval Holders of FAA-approved aircraft. These Production Approval Holders provide quality control oversight and generally limit the number of suppliers directly servicing the commercial aerospace market. Regulations enacted by the FAA provide for an independent process (the PMA process) that enables suppliers who currently sell their products to the Production Approval Holders to also sell products to the aftermarket. Our foreign sales may be subject to similar approvals or U.S. export control restrictions. We cannot assure you that we will not lose approvals for our aerospace products in the future. The loss or suspension of product approvals could result in lost sales and materially reduce our revenues, cash flows and profitability.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repair and overhaul of aircraft parts and accessories throughout the world is highly regulated by government agencies, including the FAA. Our repair and overhaul operations are subject to certification pursuant to regulations established by the FAA and foreign government agencies, with regulations varying from country to country, although compliance with FAA requirements generally satisfies regulatory requirements in other countries. Our failure to comply with these regulations, or our compliance with new and more stringent government regulations, if enacted, could have an adverse effect on our business, financial condition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U.S. government contractor, we are subject to various procurement and other laws, regulations and contract terms applicable to our industry, including the FAR, the DFARS, the Truth in Negotiations Act, the False Claims Act, the Procurement Integrity Act, the International Traffic in Arms Regulations promulgated under the Arms Export Control Act, the Close the Contractor Fraud Loophole Act, the Foreign Corrupt Practices Act, and CAS, and we could be adversely affected by any negative finding by the U.S. government as to our compliance with them, including suspension or debarment from future government contracting.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retirement of commercial aircraft could reduce our revenues, cash flows and profitability.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replacement parts used in the repair and overhaul of jet engine and aircraft components, as well as provide such repair and overhaul services ourselves. As aircraft or engines for which we offer replacement parts or repair and overhaul services are retired, demand for these parts and services could decline and could reduce our revenue, cash flows and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utilizing information technology systems could adversely affect our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upon our information technology (“IT”) systems to process, transmit and store electronic information to manage and operate our business. Further, in the ordinary course of business we store sensitive data, including intellectual property, on our networks. The secure maintenance and transmission of this information is critical to our business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face cyber events and other IT security threats, including malware, ransomware, phishing and other intrusions, to our IT infrastructure, attempts to gain unauthorized access to proprietary, classified or confidential information, and threats to the physical security of our IT systems. As a U.S. government contractor, our risk of cyber events may be greater than the risk faced by other companies that are not government contractors. In addition to security threats, our IT systems may also be subject to network, software or hardware failures. The unavailability of our IT systems, the failure of these systems to perform as anticipated, or any significant breach of data security could cause loss of data, disrupt our operations, require significant management attention and resources, subject us to liability to third parties or regulatory actions or contract termination, and negatively impact our reputation among our customers and the public, which could have a negative impact on our financial and competitive position, results of operations and liquidity. In addition, our business with our customers and vendors could be impacted by cyber events on their IT systems.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address the risk to our IT systems and data, we maintain an IT security program designed to resist cyber events and to mitigate the damage from successful events. Refer to Part I, Item 1C of this Annual Report for details regarding our data protection and cybersecurity risk management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Work stoppages and other labor problems could materially reduce our ability to operate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have three collective bargaining agreements covering employees at our Plymouth, Indiana, Fairfield, Connecticut and West Trenton, New Jersey facilities, representing approximately 7% of our U.S.-based hourly employees as of March 30, 2024. While we believe our relations with our employees are satisfactory, the inability to satisfactorily negotiate and enter into new collective bargaining agreements upon expiration, or a lengthy strike or other work stoppage at any of our facilities, particularly at some of our larger facilities, could materially reduce our ability to operate our business. In addition, any attempt by our employees not currently represented by a union to join a union could result in additional expenses, including with respect to wages, benefits and pension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work stoppages at one or more of our customers or suppliers (including suppliers of transportation services), many of which have large unionized workforces, could also cause disruptions to our business that we cannot control, and these disruptions could materially reduce our revenues, cash flows and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Unexpected equipment failures or catastrophic events could increase our costs and reduce our sales due to production curtailments or shutdowns.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manufacturing processes are dependent upon critical pieces of turning, milling, grinding, and electrical equipment, and this equipment could, on occasion, be out of service as a result of unanticipated failures. In addition to equipment failures, our facilities are also subject to the risk of catastrophic loss due to unanticipated events such as fires, explosions, earthquakes or violent weather conditions. In the future, we could experience material plant shutdowns or periods of reduced production as a result of these types of equipment failures or catastrophes. Interruptions in production capabilities would inevitably increase our production costs and reduce revenues, cash flows and profitability for the affected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make the acquisitions necessary for us to realize our growth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businesses that complement or expand our operations is an important element of our business strategy. We frequently engage in evaluations of potential acquisitions and negotiations for possible acquisitions, some of which, if consummated, could be significant to us. We cannot assure you that we will be successful in identifying attractive acquisition candidates or completing acquisitions on favorable terms in the future. Our inability to acquire businesses, or to operate them profitably once acquired, could have a material adverse effect on our business, financial position, cash flow and growth.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realize anticipated benefits and synergies from our acquisitions could be affected by a number of factors, including: the need for greater than expected cash or other financial resources or management time in order to implement or integrate acquisitions; increases in other expenses related to an acquisition, including restructuring and other exit costs; the timing and impact of purchase accounting adjustments; difficulties in employee or management integration, including labor disruptions or disputes; and unanticipated liabilities associated with acquired businesses.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potential cost-saving opportunities may take several quarters following an acquisition to implement, and any results of these actions may not be realized for several quarters thereafter, if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Businesses that we acquire may have liabilities for which we are liable.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complete an acquisition, it may be necessary for us to assume the liabilities of the acquired business. These liabilities may be known at the time of the acquisition, but could be underestimated by us, or they may not be known to us until after the acquisition. In the case of an acquisition in which we do not assume all the liabilities of the acquired business, we typically obtain indemnification from the seller against the unassumed liabilities, although no assurance can be given that such indemnification will be sufficient in amount, scope or duration to fully offset the risk of the unassumed liabilities. Liabilities of acquired businesses that ultimately are borne by us (either because we assume them or our indemnification right proves to be insufficient or unenforceable) could have a material adverse effect on our business, financial condition or results of operations. In addition, after we complete an acquisition we may learn of other matters that adversely affect us, such as issues relating to the acquired business’s compliance with applicable laws, or issues relating to its supply chain, customer relationships or order demand.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 comprise a significant portion of our total assets, and if we determine that goodwill and indefinite-lived intangibles have become impaired in the future, our results of operations and financial condition in such years may be materially and adversely affected.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the fair market value of net assets acquired in business combinations. Indefinite-lived intangibles represent repair station certifications obtained in business combinations and assumed to have indefinite lives. As of March 30, 2024, we had $1,874.9 of goodwill and $24.3 of indefinite-lived intangibles, representing approximately 41% of our total assets. We review goodwill and indefinite-lived intangibles at least annually for impairment and any excess in carrying value over the estimated fair value is charged to the results of operations. Our estimates of fair value are based on assumptions about the future operating cash flows, growth rates, discount rates applied to these cash flows, and current market estimates of value. If we are required to record a charge to earnings because of an impairment of goodwill or indefinite-lived intangibles, our results of operations and financial condition could be materially and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senior management and other key personnel, the loss of whom could materially affect our financial performance and prospects.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managed by a number of key personnel, including our CEO Dr. Michael J. Hartnett. Our future success will depend on, among other things, our ability to retain the services of these personnel and to hire their successors and other highly qualified employees at all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risks inherent in such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in Australia, England, Canada, France, Germany, India, Mexico, the Peoples Republic of China, Poland and Switzerland. Of our 54 facilities in 11 countries, 19 are located outside the U.S., including 10 manufacturing facilities in four countries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fiscal 2024, approximately 12% of our net sales were generated by our international operations. We expect that this proportion is likely to increase as we seek to increase our penetration of foreign markets, including through acquisitions. Our foreign operations are subject to the risks inherent in such activities such as: currency devaluations, logistical and communication challenges, costs of complying with a variety of foreign laws and regulations, greater difficulties in protecting and maintaining our rights to intellectual property, difficulty in staffing and managing geographically diverse operations, acts of terrorism or war or other acts that may cause social disruption which are difficult to quantify or predict, and general economic conditions in these foreign markets. Our international operations may be negatively impacted by changes in government policies, such as changes in laws and regulations, restrictions on imports and exports, sources of supply, duties or tariffs, the introduction of measures to control inflation, and changes in the rate or method of taxation. To date we have not experienced significant difficulties with the foregoing risks associated with our international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risks may have a material impact on our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foreign operations utilize the local currency as their functional currency. Foreign currency transaction gains and losses are included in earnings. Foreign currency transaction exposure arises primarily from the transfer of foreign currency from one subsidiary to another within the group and to foreign currency-denominated trade receivables. Unrealized currency translation gains and losses are recorded on the balance sheet upon translation of the foreign operations’ functional currency to the reporting currency. Because our financial statements are denominated in U.S. dollars, changes in currency exchange rates between the U.S. dollar and the currencies used by our international operations have had, and will continue to have, an impact on our earnings. We periodically enter into derivative financial instruments such as forward exchange contracts to reduce the effect of fluctuations in exchange rates on certain third-party sales transactions denominated in non-functional currencies. Currency fluctuations may affect our financial performance in the future and we cannot predict the impact of future exchange rate fluctuations on our results of operations. See Part II, Item 7A. “Quantitative and Qualitative Disclosures about Market Risk—Foreign Currency Exchange Rates”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losses for product liability and recall-related claims.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risk of product and recall-related liability in the event that the failure, use or misuse of any of our products results in personal injury, death or property damage or our products do not conform to our customers’ specifications. In particular, our products are installed in a number of types of vehicle fleets, including airplanes, helicopters, trains, automobiles, heavy trucks and farm equipment, many of which may be subject to government-ordered recalls as well as voluntary recalls by the manufacturer. If one of our products is found to be defective, causes a fleet to be disabled or otherwise results in a product recall, significant claims may be brought against us. We currently maintain insurance coverage for product liability claims but not for recall-related claims. We cannot assure you that product liability claims, if made, would not exceed our insurance coverage limits. Claims that are not covered by insurance, or that exceed insurance coverage limits, could result in material losses. Claims that are covered by insurance could result in increased future insurance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and proprietary information are valuable, and any inability to protect them could adversely affect our business and results of operations; in addition, we may be subject to infringement claims by third parties.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effectively is dependent upon our ability to protect and preserve the intellectual property and proprietary information owned, licensed or otherwise used by us. We have numerous U.S. and foreign trademark registrations and patents. We also have U.S. and foreign trademark and patent applications pending. We cannot assure you that our pending trademark and patent applications will result in trademark registrations and issued patents, and our failure to secure rights under these applications may limit our ability to protect the intellectual property rights that these applications were intended to cover. Although we have attempted to protect our intellectual property and proprietary information both in the United States and in foreign countries through a combination of patent, trademark, copyright and trade secret protection, and non-disclosure agreements, these steps may be insufficient to prevent unauthorized use of our intellectual property and proprietary information, particularly in foreign countries where the protection available for such intellectual property and proprietary information may be limited. We cannot assure you that any of our intellectual property rights will not be infringed upon or that our trade secrets will not be misappropriated or otherwise become known to or independently developed by competitors. We may not have adequate remedies available for any such infringement or other unauthorized use. We cannot assure you that any infringement claims asserted by us will not result in our intellectual property being challenged or invalidated, that our intellectual property will be held to be of adequate scope to protect our business, or that we will be able to deter current and former employees, contractors or other parties from breaching confidentiality obligations and misappropriating trade secrets.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could become subject to litigation claiming that our intellectual property or proprietary information infringes the rights of a third party. In that event, we could incur substantial defense costs and, if such litigation is successful, we could be required to pay the claimant damages for our past use of such intellectual property or proprietary information, and we could either be required to pay royalties for our use of it in the future or be prohibited from using it in the future. Our inability to use our intellectual property and proprietary information on a cost-effective basis in the future could have a material adverse effect on our revenue, cash flow and profitability. See Part I, Item 1. “Business—Intellectual Property”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orders in our backlog could negatively impact our revenues, cash flows and profitability.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30, 2024, we had an order backlog of $821.5, including all orders from our Sargent marine and Sargent aerospace businesses. However, orders included in our backlog may be subject to cancellation, delay or other modifications by our customers and we cannot assure you that these orders will ultimately be fulfilled.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performance can be affected by the timing of government product inspections and approvals.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portion of our revenue is associated with contracts with the U.S. government that require onsite inspection and approval of the products by government personnel before we may ship the products, and we have no control over the timing of those inspections and approvals. If products scheduled for delivery in one quarter are not inspected or approved until the following quarter, the delay would adversely affect our sales and profitability for the quarter in which the shipments were scheduled.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incurred substantial debt in order to complete the Dodge acquisition, which could constrain our business and exposes us to the risk of defaults under our debt instruments.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fiscal 2022, we incurred $1,800.0 of total debt to finance the Dodge acquisition. As of March 30, 2024, our total debt was $1,191.9. This debt could or will have important consequences, including, but not limited to:</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debt requires us to make significant interest and principal payments in the future;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will be used to repay the principal and interest on our debt, thereby reducing the funds available to us for other purposes including for strategic acquisitions, working capital, capital expenditures, and general corporate purposes;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and reacting to changes in our business, the competitive landscape and the markets in which we operate may be limited;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relative to other companies in our industry with less debt or comparable debt on more favorable terms.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make scheduled payments on and to refinance our indebtedness depends on and is subject to our financial and operating performance and no assurance can be given that our business will generate sufficient cash flow to service our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our ability to comply with the financial and other covenants contained in our debt instruments could be affected by, among other things, changes in our results of operations, the incurrence of additional indebtedness, the pricing of our products, our success at implementing cost reduction initiatives, our ability to successfully implement our overall business strategy, or changes in industry-specific or general economic conditions which are beyond our control. The breach of any of these covenants could result in a default or event of default under our debt instruments, which, if not cured or waived, could result in our being required to repay these borrowings before their due date. If we are forced to refinance these borrowings on less favorable terms or cannot refinance these borrowings, our prospects, business, financial condition, results of operations and cash flows could be materially and adversely affected and could cause us to become bankrupt or otherwise insolvent. In addition, these covenants may restrict our ability to engage in transactions that we believe would otherwise be in the best interests of our business and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would increase the cost of servicing our term loan and could reduce our profitability.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30, 2024, $400.0 of our term loan was subject to a fixed-rate interest swap but the remaining $275.0 balance of the term loan bears interest at a variable rate. Future increases in interest rates would increase the cost of servicing the portion of the term loan not subject to a swap, which could materially reduce our profitability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may prevent or hinder efforts to acquire a controlling interest in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discourage, delay or prevent a merger, acquisition or other change in control that stockholders may consider favorable, including transactions that might benefit our stockholders or in which our stockholders might otherwise receive a premium for their shares. These provisions may also prevent or frustrate attempts by our stockholders to replace or remove our management.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our charter documents, our Board of Directors (the “Board”) consists of eight members serving staggered three-year terms and divided into three classes. As a result, two annual meetings are required to change a majority of the Board members.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10,000,000 shares of preferred stock, with such designations, rights and preferences as may be determined from time to time by the Board, without stockholder approval. We utilized this authorization to issue 4,600,000 shares of 5.00% Series A Mandatory Convertible Preferred Stock (“MCPS”) in fiscal 2022. Certain terms of the MCPS could make an attempt to acquire RBC more difficult or expensive. In the future the Board could authorize the issuance of some or all of the 5,400,000 remaining authorized shares of preferred stock with rights, preferences and privileges that rank equally with the MCPS, or that could have the effect of discouraging, delaying or preventing a change in control of us, or that could impede our stockholders’ ability to approve a transaction they consider in their best interests. Although we have no present intention to issue any additional preferred stock, no assurance can be given that we will not do so in the future. Holders of our common stock do not have preemptive rights to subscribe for a pro rata portion of preferred stock or any other capital stock that we may issue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 in the foreseeable future and our ability to pay dividends on the MCPS is subject to various limitations.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for a $2.00 per common share special dividend paid in 2014, we have not paid any cash dividends on our common stock and we do not expect to pay cash dividends on the common stock in the foreseeable future. Instead, we plan to apply earnings and excess cash, if any, to the service of our debt, the payment of quarterly dividends on the MCPS, and the expansion and development of our business. Thus, any return on an investment in our common stock would depend solely on an increase, if any, in the market value of the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pay dividends on the MCPS depends on several factors including:</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have on hand and cash generated by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financing needs, including our debt service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distribute cash to our parent company, which issued the MCPS;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restrictions on our ability to pay dividends, including those under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restrictions on our ability to pay dividends, including under our bank credit agreement with Wells Fargo.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Governance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response to the increasing threat of continuously evolving cybersecurity risks, we continue to invest in our information technology and operational technology cybersecurity processes. We maintain a data protection and cybersecurity risk management program based upon the National Institute of Standards and Technology (“NIST”) Cybersecurity framework to assess, identify and manage cybersecurity risks. As part of this program, we maintain defensive network perimeter safeguards, internal mitigation and control features, continuous system and network monitoring, and contingency data protection. The Company ensures regular data and system backups through planned schedules. We utilize local backups for quick recovery and off-site, off-line and physical backups to safeguard against disasters. Our cybersecurity program includes steps for assessing the severity of a cybersecurity threat, identifying the source of a cybersecurity threat including whether the cybersecurity threat is associated with a third-party service provider, implementing cybersecurity testing, detection, response, prevention and mitigation strategies. We also have a notification process for real-time escalation of material cyber incidents by members of our internal cybersecurity team to senior management, including our Chief Executive Officer, Chief Operating Officer, Chief Financial Officer, Corporate Controller, General Counsel and the Audit Committee of the Board of Directors. The Company’s information security team also engages third-party security consultants for penetration testing, training and system enhancements. Our Director of Information Technology is responsible for leading global cybersecurity risk reduction efforts and compliance.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oversight of our risk management with respect to information technology operations and cybersecurity and oversees risk management in the area of data privacy. As part of this process, the Audit Committee oversees the data protection and cybersecurity risk management program, which includes reviewing management’s risk assessments and the steps management has taken to monitor or mitigate our cybersecurity risk exposure. Management regularly provides data protection and cybersecurity reports to the Audit Committee, which include updates on cybersecurity initiatives, cybersecurity metrics and threat landscape.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our efforts with respect to information technology operations, cybersecurity and data privacy, we have been, and may continue to be, impacted by breaches in data security and lapses in data privacy, which occur from time to time. During fiscal year 2024, the Company did not experience any cybersecurity incidents that have materially affected or are reasonably likely to materially affect the Company, including its business strategy, results of operations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consists of approximately 70,000 square feet located at One Tribology Center, Oxford, Connecticut, which we own, and our Dodge Industrial subsidiary has approximately 75,000 square feet of office space in Simpsonville, South Carolina, which we lease.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Industrial business segment maintains approximately 1,725,000 square feet of manufacturing space across 14 facilities in California, Connecticut, Indiana, New Jersey, North Carolina, Ohio, Oklahoma, South Carolina and Tennessee, some of which we own and some of which we lease. This manufacturing space includes approximately 460,000 square feet in two owned facilities in North Carolina and South Carolina, and approximately 650,000 square feet in three leased facilities in North Carolina, South Carolina and Tennessee, all of which are used by Dodge Industrial. The Industrial business segment also maintains approximately 467,000 square feet of manufacturing space across six leased facilities in China, Mexico, and Switzerland and two owned facilities in Poland and Switzerland.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Aerospace/Defense business segment maintain approximately 889,000 square feet of manufacturing space across 14 facilities in Arizona, California, Connecticut, Georgia, Indiana, South Carolina and Nevada, some of which we own and some of which we lease. This manufacturing space includes 163,000 square feet in one owned facility in Arizona. The Aerospace/Defense business segment also maintains approximately 108,000 square feet of manufacturing space across two leased facilities in Mexico.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or lease approximately 239,000 square feet in three distribution centers located in California, South Carolina, and Tennessee, and we also lease several sales offices in various locations in the United States, Canada, France, China, Germany India and Australia. We also utilize third party logistics’ firms located strategically around the world to supplement distribution of our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as the term of each of our leased facilities expires we will be able to either secure a renewal or enter into a lease for an alternate location on market terms.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and equipment are generally in good condition, are well maintained and adequate to carry on our current operations. We also believe that our existing manufacturing facilities have sufficient capacity to meet increased customer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2022 and March 21, 2023, the Company received civil investigative demands from the United States Department of Justice pursuant to the False Claims Act, 31 U.S.C. § 3733 (the “FCA”). The investigation concerns allegations that the Company submitted false claims in connection with</w:t>
      </w:r>
    </w:p>
    <w:p>
      <w:pPr>
        <w:jc w:val="both"/>
        <w:ind w:firstLine="8"/>
        <w:spacing w:after="0" w:line="255" w:lineRule="auto"/>
        <w:tabs>
          <w:tab w:leader="none" w:pos="2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the Company’s employees were eligible for unemployment insurance benefits and pandemic relief and worked reduced hours and (ii) received grant proceeds in violation of the FCA. The Company is cooperating with the investigation. As the investigation is in its early stages, it is not possible to determine whether the investigation will have a material adverse effect, if any, on the Company.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Besides the matter described in the previous paragraph, from time to time we are involved in litigation that arises in the ordinary course of business, but we do not believe that any such litigation in which we are currently involved, either individually or in the aggregate, is likely to have a material adverse effect on our business, financial condition, operating results, cash flow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Our Common Stock and Preferred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New York Stock Exchange under the symbol “RBC.” As of May 10, 2024, there was one holder of record of our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high and low sales prices of our common stock during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2"/>
              </w:rPr>
              <w:t>236.95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202.73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253.00</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264.94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288.16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256.29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0"/>
                <w:szCs w:val="20"/>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285.79</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240.36</w:t>
            </w:r>
          </w:p>
        </w:tc>
        <w:tc>
          <w:tcPr>
            <w:tcW w:w="22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254.50</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204.67</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last reported sale price of our common stock on the New York Stock Exchange on May 10, 2024 was $271.56 per share.</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MCPS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our outstanding preferred stock) is quoted on the New York Stock Exchange under the symbol “RBCP.” As of May 10, 2024, there was one holder of record of the MCPS.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high and low sales prices of the MCPS during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2"/>
              </w:rPr>
              <w:t>112.53</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102.93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118.68</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101.97</w:t>
            </w:r>
          </w:p>
        </w:tc>
        <w:tc>
          <w:tcPr>
            <w:tcW w:w="22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127.19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131.99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123.15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101.39</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20"/>
                <w:szCs w:val="20"/>
                <w:color w:val="auto"/>
              </w:rPr>
            </w:pP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129.12</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116.30</w:t>
            </w:r>
          </w:p>
        </w:tc>
        <w:tc>
          <w:tcPr>
            <w:tcW w:w="22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121.21</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101.57</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last reported sale price of the MCPS on the New York Stock Exchange on May 10, 2024 was $122.34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our Board of Directors authorized us to repurchase up to $100.0 of our common stock from time to time on the open market, in block trade transactions, and through privately negotiated transactions, in compliance with SEC Rule 10b-18 depending on market conditions, alternative uses of capital, and other relevant factors. Purchases may be commenced, suspended, or discontinued at any time without prior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 repurchases under the 2019 plan during the fourth quarter of fiscal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dollar value</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of shares still</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part of the</w:t>
            </w:r>
          </w:p>
        </w:tc>
        <w:tc>
          <w:tcPr>
            <w:tcW w:w="200" w:type="dxa"/>
            <w:vAlign w:val="bottom"/>
          </w:tcPr>
          <w:p>
            <w:pPr>
              <w:spacing w:after="0"/>
              <w:rPr>
                <w:sz w:val="18"/>
                <w:szCs w:val="18"/>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available to be</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2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purchased under</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program</w:t>
            </w:r>
          </w:p>
        </w:tc>
      </w:tr>
      <w:tr>
        <w:trPr>
          <w:trHeight w:val="24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6"/>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12/31/2023 – 01/27/2024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01/28/2024 – 02/24/2024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12,565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37"/>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02/25/2024 – 03/30/2024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5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fourth quarter of fiscal 2024, we did not issue any common stock that was not registered under the Securities Act of 1933.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equity compensation plans required to be disclosed pursuant to this Item is included in Part II, Item 8, Note 17 of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graph shows the total return to our stockholders compared to the Russell 3000 Index and the S&amp;P 400 Industrials (Sector) (TR) over the period from March 30, 2019 to March 30, 2024. Because of the diversity of our markets and products, we do not believe that a combination of peer issuers can be selected on an industry or line-of-business basis to provide a meaningful basis for comparing shareholder return. Accordingly, the Russell 3000 Index, which is comprised of issuers with generally similar market capitalizations to that of the Company, is included in the graph as permitted by applicable regulations. Each line on the graph assumes that $100 was invested in our common stock or in the respective indices on March 30, 2019 based on the closing price on that date. The graph then presents the value of these investments, assuming reinvestment of dividends, through the close of trading on March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131445</wp:posOffset>
            </wp:positionV>
            <wp:extent cx="5349240" cy="323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45"/>
        </w:trPr>
        <w:tc>
          <w:tcPr>
            <w:tcW w:w="3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Bearings Incorporated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100.00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182.98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Russell 3000 Index</w:t>
            </w:r>
          </w:p>
        </w:tc>
        <w:tc>
          <w:tcPr>
            <w:tcW w:w="12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89.43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166.03</w:t>
            </w:r>
          </w:p>
        </w:tc>
        <w:tc>
          <w:tcPr>
            <w:tcW w:w="1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151.13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400 Industrials (Sector) (TR)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165.64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cumulative total return shown on the stock performance graph indicates historical results only and may not be indicative of future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and business analysis below provides information that we believe is relevant to an assessment and understanding of our consolidated financial position, results of operations and cash flows. This financial and business analysis should be read in conjunction with the consolidated financial statements and related notes. All references to “Notes” in this Item 7 refer to the “Notes to Consolidated Financial Statements” included in Item 8 of this Annual Report on Form 10-K.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statements reflecting our views about our future performance that constitute “forward-looking statements” within the meaning of the safe harbor provisions of the U.S. Private Securities Litigation Reform Act of 1995. See the information provided in Part I, Item 1A. “Risk Factors” of this Annual Report on Form 10-K under the heading “Cautionary Statement as to Forward-Looking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well-known international manufacturer of highly engineered precision bearings, components and essential systems for the industrial, defense and aerospace industries.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the higher end of the bearing market where we believe our value-added manufacturing and engineering capabilities enable us to differentiate ourselves from our competitors and enhance profitability. We believe our unique expertise has enabled us to garner leading positions in many of the product markets in which we primarily compete. With 54 facilities in 11 countries, of which 38 are manufacturing facilities, we have been able to significantly broaden our end markets, products, customer base and geographic reach. We have a fiscal year consisting of 52 or 53 weeks, ending on the Saturday closest to March 31. Based on this policy, fiscal 2024 had 52 weeks and fiscal 2023 had 52 weeks. We currently operate under two reportable business segments – Aerospace/Defense and Industrial:</w:t>
      </w:r>
    </w:p>
    <w:p>
      <w:pPr>
        <w:spacing w:after="0" w:line="184" w:lineRule="exact"/>
        <w:rPr>
          <w:sz w:val="20"/>
          <w:szCs w:val="20"/>
          <w:color w:val="auto"/>
        </w:rPr>
      </w:pPr>
    </w:p>
    <w:p>
      <w:pPr>
        <w:ind w:left="980" w:hanging="324"/>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Aerospace/Defense. </w:t>
      </w:r>
      <w:r>
        <w:rPr>
          <w:rFonts w:ascii="Times New Roman" w:cs="Times New Roman" w:eastAsia="Times New Roman" w:hAnsi="Times New Roman"/>
          <w:sz w:val="18"/>
          <w:szCs w:val="18"/>
          <w:color w:val="auto"/>
        </w:rPr>
        <w:t>This segment represents the end markets for the Company’s highly engineered bearings and precision components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commercial aerospace, defense aerospace, and marine and ground defense applications.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This segment represents the end markets for the Company’s highly engineered bearings, gearings and precision components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various industrial applications including: power transmission; construction, mining, energy and specialized equipment manufacturing; semiconductor production equipment manufacturing; agricultural machinery, commercial truck and automotive manufacturing; and tool holding.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cyclical, and we have endeavored to mitigate this cyclicality by entering into single and sole-source relationships and long-term purchase agreements, through diversification across multiple market segments within the Aerospace/Defense and Industrial segments, by increasing sales to the aftermarket, and by focusing on developing highly customized solutions.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our strategy is built around maintaining our role as a leading manufacturer of highly engineered bearings and precision components through the following efforts:</w:t>
      </w:r>
    </w:p>
    <w:p>
      <w:pPr>
        <w:spacing w:after="0" w:line="158" w:lineRule="exact"/>
        <w:rPr>
          <w:sz w:val="20"/>
          <w:szCs w:val="20"/>
          <w:color w:val="auto"/>
        </w:rPr>
      </w:pPr>
    </w:p>
    <w:p>
      <w:pPr>
        <w:ind w:left="980" w:hanging="324"/>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Developing innovative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our design and manufacturing expertise and our extensive customer relationships,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develop new products for markets in which there are substantial growth opportunities.</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customer base and penetrating end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continually seek opportunities to access new customers, geographic locations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bearing platforms with existing products or profitable new product opportunities.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aftermarket sales. </w:t>
      </w:r>
      <w:r>
        <w:rPr>
          <w:rFonts w:ascii="Times New Roman" w:cs="Times New Roman" w:eastAsia="Times New Roman" w:hAnsi="Times New Roman"/>
          <w:sz w:val="18"/>
          <w:szCs w:val="18"/>
          <w:color w:val="auto"/>
        </w:rPr>
        <w:t>We believe that increasing our aftermarket sales of replacement parts will further enhance the continuity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predictability of our revenues and enhance our profitability. Such sales include sales to third party distributors, and sales to OEMs for replacement products and aftermarket services. We will further increase the percentage of our revenues derived from the replacement market by continuing to implement several initiatives.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Pursuing selective acquisitions. </w:t>
      </w:r>
      <w:r>
        <w:rPr>
          <w:rFonts w:ascii="Times New Roman" w:cs="Times New Roman" w:eastAsia="Times New Roman" w:hAnsi="Times New Roman"/>
          <w:sz w:val="18"/>
          <w:szCs w:val="18"/>
          <w:color w:val="auto"/>
        </w:rPr>
        <w:t>The acquisition of businesses that complement or expand our operations has been and continues to be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element of our business strategy. We believe that there will continue to be consolidation within the industry that may present us with acquisition opportunities.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demonstrated expertise in acquiring and integrating bearing and precision engineered component manufacturers that have complementary products or distribution channels and have provided significant margin enhancement. We have consistently increased the profitability of acquired businesses through a process of methods and systems improvement coupled with the introduction of complementary and proprietary new products. Since 1992 we have completed 29 acquisitions, which have broadened our end markets, products, customer base and geographic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sales increased 6.2% year over year due to an increase of 20.7% in Aerospace and Defense segment sales and a 0.2% increase in Industrial segment sales.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Aerospace and Defense segment sales increased 20.7% year over year. Commercial aerospace increased 20.3%, demonstrating the continued recovery and early stages of a growth cycle. Defense sales, which represent approximately 31.9% of segment sales during the year, were up more than 21.6% for the year. Our backlog in this end market is significant and deliveries are expected to continue to accelerate in the coming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fiscal year ended March 30, 2024, approximately 66.7% of our net sales were attributable to the Industrial segment while the Aerospace/Defense segment contributed approximately 33.3% of our net sales. For the fourth quarter of fiscal 2024, approximately 65.6% of our net sales were attributable to the Industrial segment compared to approximately 34.4% for the Aerospace/Defense segment. Approximately $186.8 of Industrial segment sales in the fourth quarter of fiscal 2024 were to distribution and aftermarket compared to $185.7 in the prior year while approximately $84.5 were made directly to OEMs in the fourth quarter of fiscal 2024 compared to $86.9 in the prior year. Net sales in the Aerospace/Defense segment increased $20.6, or 16.8%, for the fourth quarter of fiscal 2024 compared to the same period last fiscal year. Commercial aerospace, which consisted of $78.2 of OEM and $19.7 of distribution and aftermarket, increased by 12.0% compared to the fourth quarter of fiscal 2023 when OEM net sales were $68.8 and distribution and aftermarket net sales were $18.5. This was driven by a continuing recovery as build rates and orders escalate in the OEM markets and the aftermarket begins to pick up. Our defense markets, which consisted of $34.2 of OEM and $10.3 of distribution and aftermarket, increased by 29.0% compared to the fourth quarter of fiscal 2023 when OEM net sales were $28.2 and distribution and aftermarket net sales were $6.3.</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forecasts net sales to be approximately $415.0 to $420.0 in the first quarter of fiscal 2025, compared to $387.1 in the first quarter of fiscal 2024, which represents a growth rate of 7.2% to 8.5%.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order backlog, as of March 30, 2024, was $726.1 compared to $663.8 as of April 1, 2023. These figures exclude orders from our Sargent marine and Sargent aerospace businesses that are expected to be fulfilled more than 12 months after the balance sheet dates. Including all orders from our Sargent marine and Sargent aerospace businesses, our backlog as of March 30, 2024 was $821.5 compared to $759.4 as of April 1, 2023. This increase reflects continued growth, most notably in our commercial aerospace and marine defense end markets. Beginning in fiscal year 2025, we will disclose our full backlog for periods presented.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experienced solid operating cash flow generation during fiscal 2024 (as discussed in the “Liquidity and Capital Resources” section below). We believe that operating cash flows and available credit under our revolving bank credit facilities will provide adequate resources to fund internal growth initiatives for the foreseeable future, including at least the next 12 months. As of March 30, 2024, we had cash and cash equivalents of $63.5, of which, $25.9 was cash held by our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when there is commitment and approval from both parties involved, the rights of the parties are identified, payment terms are defined, the contract has commercial substance and collectability of consideration is probable. The Company has determined that the contract with the customer is established when the customer purchase order is accepted or acknowledged. Long-term agreements (“LTAs”) are used by the Company and certain of its customers to reduce their supply uncertainty for a period of time, typically multiple years. While these LTAs define commercial terms including pricing, termination rights and other contractual requirements, they do not represent the contract with the customer for revenue recognition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Approximately 98% of the Company’s revenue was generated from the sale of products to customers in the Industrial and Aerospace/Defense markets for each of the years ended March 30, 2024 and April 1, 2023. The remaining 2% of the Company’s revenue for each of the last two fiscal years was derived from services performed for customers, which included repair and refurbishment work performed on customer-controlled assets as well as design and test work.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for further discussion regarding the Company’s revenue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sales includes employee compensation and benefits, raw materials, outside processing, depreciation of manufacturing machinery and equipment, supplies and manufacturing overhead.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Less than half of our factory costs, depending on product mix, are attributable to raw materials, purchased components and outside processing. When we experience raw material inflation, we attempt to offset these cost increases by changing our buying patterns, expanding our vendor network and passing through price increases when possible. Although we experienced cost inflation on raw material, labor and overhead for this fiscal year, we were able to mitigate it through pricing and strategic sourcing efforts.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monitor gross margin performance through a process of monthly operation reviews with all our divisions. We develop new products to target certain markets allied to our strategies by first understanding volume levels and product pricing and then constructing manufacturing strategies to achieve defined margin objectives. We only pursue product lines where we believe that the developed manufacturing process will yield the targeted margins. Management monitors gross margins of all product lines on a monthly basis to determine which manufacturing processes or prices should be adjusted.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in millions, except share and per share data)</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FY23</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attributable to common stockholders: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attributable to common stockholders: Diluted</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29,189,056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29,072,429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for the fiscal year ended March 30, 2024 increased $91.0, or 6.2%, for fiscal 2024 compared to fiscal 2023. This increase in net sales was the result of an 0.2% increase in our Industrial segment, while sales in our Aerospace/Defense segment increased 20.7% year over year. Industrial segment sales remain very strong, most notably, in the mining, energy, and general industrial markets. Within Aerospace/Defense, total commercial aerospace increased 20.3% and defense increased 21.6% year over year. The commercial aerospace increase reflects the continued recovery in the market over the last year, and what we believe is the start of a growth cycle as aircraft build rates at large OEMs are expected to escalate in coming years.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income attributable to common stockholders increased by $43.1 to $186.9 for fiscal 2024 compared to fiscal 2023. The net income attributable to common stockholders of $186.9 in fiscal 2024 was impacted by $3.0 of restructuring and consolidation charges incurred, $78.7 of interest expense, $23.0 of preferred stock dividends and $51.9 of income tax expense. The net income attributable to common stockholders of $143.8 in fiscal 2023 was impacted by $8.8 of transition service agreement (TSA) costs associated with the Dodge acquisition, $2.7 of restructuring and consolidation charges incurred at some of our plants located in South Carolina, $76.7 of interest expense, $22.9 of preferred stock dividends and $43.0 of income tax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FY23</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 was 43.0% of sales for fiscal 2024 compared to 41.2% for the same period last year. Gross margin during fiscal 2024 included $0.3 of inventory rationalization costs associated with consolidation efforts at one of our facilities located in California. Gross margin in fiscal 2023 included $0.2 of inventory rationalization costs associated with consolidation efforts at one of our facilities located in South Carolina. The expansion in margin during fiscal 2024 reflects the combination of continued cost efficiencies achieved through integration, product mix, pricing and the ability to maintain appropriate pricing levels while facing an inflationary environment both as it relates to manufacturing costs and human capital.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FY23</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by $23.8 to $253.5 for fiscal 2024 compared to fiscal 2023. The increase in SG&amp;A was primarily driven by personnel costs, IT costs and other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Borders>
              <w:bottom w:val="single" w:sz="8" w:color="CCEEFF"/>
            </w:tcBorders>
          </w:tcPr>
          <w:p>
            <w:pPr>
              <w:spacing w:after="0"/>
              <w:rPr>
                <w:sz w:val="21"/>
                <w:szCs w:val="21"/>
                <w:color w:val="auto"/>
              </w:rPr>
            </w:pPr>
          </w:p>
        </w:tc>
        <w:tc>
          <w:tcPr>
            <w:tcW w:w="25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FY23</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74.8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37"/>
        </w:trPr>
        <w:tc>
          <w:tcPr>
            <w:tcW w:w="3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operating expenses for fiscal 2024 totaled $74.8 compared to $82.1 for fiscal 2023. For fiscal 2024, other operating costs consisted primarily of $70.4 of amortization expense, $2.7 of plant consolidation and restructuring costs, $0.2 of bad debt expense, $0.3 of acquisition costs, $0.6 of losses on disposal of assets, and $0.6 of other items. For fiscal 2023, other operating expenses were comprised of $8.9 of TSA costs and other costs associated with the Dodge acquisition, $69.1 of amortization expense, $2.5 of plant consolidation and restructuring costs, $0.8 of bad debt expense, $0.3 of asset impairments, $0.3 of losses on disposal of assets, and $0.2 of other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FY23</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78.7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net, consists of interest charged on the Company’s debt agreements and amortization of deferred financing fees, offset by interest income. Interest expense, net was $78.7 for fiscal 2024 compared to $76.7 for fiscal 2023 as a result of additional interest on our variable rate debt. Though interest rates have steadily increased since the beginning of fiscal 2023, the interest rate swap that we entered into that year (see “Liquidity and Capital Resources” below) has enabled us to manage interest costs as approximately 75% of our debt bears interest at a fixed rate, after giving effect to the interest rate swap agreement in place.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FY23</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of net sales</w:t>
            </w:r>
          </w:p>
        </w:tc>
        <w:tc>
          <w:tcPr>
            <w:tcW w:w="82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non-operating expense for fiscal 2024 totaled $1.7, consisting primarily of post-retirement benefit costs. Non-operating costs incurred during fiscal 2023 were $6.6, consisting primarily of costs associated with post-retirement benefit plans led by a $4.3 settlement loss related to the derecognition of $15.6 of pension liabilities and $15.6 of pension assets resulting from an annuity contract executed in March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FY23</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51.9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43.0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with discrete items</w:t>
            </w:r>
          </w:p>
        </w:tc>
        <w:tc>
          <w:tcPr>
            <w:tcW w:w="7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20.5%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without discrete items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22.9%</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for fiscal 2024 was $51.9 compared to $43.0 for fiscal 2023. Our effective income tax rate for fiscal 2024 was 19.8% compared to 20.5% for fiscal 2023. The effective income tax rates are different from the U.S. statutory rate due to the U.S. credits for increasing research activities and foreign-derived intangible income provision which decrease the rate and differences in foreign and state income taxes which increase the rate. The effective income tax rate for fiscal 2024 of 19.8% included discrete items totaling a benefit of $8.2 which is substantially related to a benefit associated with stock-based compensation, a reduction in unrecognized tax benefits due to the expiration of the statute of limitations, and the accrual of deferred tax assets related to state tax modifications. The effective income tax rate for fiscal 2024 without these discrete items would have been 22.9%. The effective income tax rate for fiscal 2023 of 20.5% included discrete items of $5.1 of benefit comprised substantially of a benefit associated with stock-based compensation and a reduction in unrecognized tax benefits partially due to the expiration of the statute of limitations. The effective income tax rate for fiscal 2023 without these discrete items would have been 22.9%</w:t>
      </w:r>
      <w:r>
        <w:rPr>
          <w:rFonts w:ascii="Times New Roman" w:cs="Times New Roman" w:eastAsia="Times New Roman" w:hAnsi="Times New Roman"/>
          <w:sz w:val="18"/>
          <w:szCs w:val="18"/>
          <w:b w:val="1"/>
          <w:bCs w:val="1"/>
          <w:i w:val="1"/>
          <w:i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2021, the Organisation for Economic Co-operation and Development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under two operating segments: Aerospace/Defense and Industrial. We use gross margin as the primary measurement to assess the financial performance of each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Aerospace/Defense Segment: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FY23</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increased $89.1, or 20.7%, for fiscal 2024 compared to fiscal 2023. Commercial aerospace, which consisted of $278.5 of OEM and $75.3 of distribution and aftermarket, increased by 20.3% compared to fiscal 2023 when OEM net sales were $234.4 and distribution and aftermarket net sales were $59.7. This was driven by a continuing recovery as build rates and orders escalated in the OEM markets and the aftermarket began to pick up. Our defense markets, which consisted of $135.3 of OEM and $30.3 of distribution and aftermarket, increased by 21.6% compared to fiscal 2023 when OEM net sales were $110.3 and distribution and aftermarket net sales were $25.9.</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we saw improvement in the sales and order volume to our commercial aerospace customers as aircraft build rates continued to grow. Our backlog and recent results reflect the early stages of this process which we expect to continue to see in upcoming quarters. Our defense markets, which represented about 31.9% of sales, increased by approximately 21.6% during the period, driven by increased sales and order volume in the marine and helicopter end markets. Overall distribution and aftermarket sales, which represent 20.3% of segment sales, were up 23.4% year over year.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was $208.8, or 40.2% of net sales, in fiscal 2024 compared to $171.0, or 39.7% of sales, for the same period in fiscal 2023. We anticipate margin expansion in the next year as the increasing orders on commercial products add volume through our plants driving cost efficiencies.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Segment: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FY23</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461.7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segment net 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sales increased $1.9, or 0.2%, during fiscal 2024 compared to the same period last year. The continued strong performance was driven by the energy, mining, and general industrial markets. Sales to distribution and the aftermarket were $707.6 in fiscal 2024 compared to $691.7 in the prior year, a 2.3% year over year increase. OEM sales were $333.3 for fiscal 2024 compared to $347.3 in the prior year. The 4.0% decrease in OEM sales compared to the prior year was primarily due to some softness in the semicon end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 was $461.7, or 44.4% of net sales, in fiscal 2024 compared to $433.8, or 41.8% of sales, for the same period in fiscal 2023. The gross margin for the fiscal 2023 included the unfavorable impact of $0.2 associated with inventory rationalization costs at one of our plants in South Carolina. The expansion in margin year over year was led by cost efficiencies achieved through synergy, product mix, and maintenance of appropriate pricing levels to offset the inflationary environment primarily driven by the cost of materials, energy and human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FY24</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FY23</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4"/>
                <w:szCs w:val="24"/>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of total net sales</w:t>
            </w:r>
          </w:p>
        </w:tc>
        <w:tc>
          <w:tcPr>
            <w:tcW w:w="7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Corporate SG&amp;A increased $6.8 or 9.0% for fiscal 2024 compared to fiscal 2023 due to increased spend in IT and personnel-related costs. As a percentage of net sales, Corporate SG&amp;A was relatively flat year over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capital-intensive. Our capital requirements include manufacturing equipment and materials. In addition, we have historically fueled our growth, in part, through acquisitions. We have historically met our working capital, capital expenditure requirements and acquisition funding needs through our net cash flows provided by operations, various debt arrangements and sale of equity to investors. We believe that operating cash flows and available credit under our revolving bank credit facilities will provide adequate resources to fund internal growth initiatives for the foreseeable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meet future working capital, capital expenditures and debt service requirements will depend on our future financial performance, which will be affected by a range of economic, competitive and business factors, particularly interest rates, cyclical changes in our end markets and prices for steel and our ability to pass through price increases on a timely basis, many of which are outside of our control. In addition, future acquisitions could have a significant impact on our liquidity position and our need for additional funds.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evaluate our existing facilities and operations and their strategic importance to us. If we determine that a given facility or operation does not have future strategic importance, we may sell, relocate, consolidate or otherwise dispose of those operations. Although we believe our operations would not be materially impaired by such dispositions, relocations or consolidations, we could incur significant cash or non-cash charges in connection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30, 2024, we had cash and cash equivalents of $63.5, of which, approximately $25.9 was cash held by our foreign operations. We expect that our undistributed foreign earnings will be re-invested indefinitely for working capital, internal growth and acquisitions for and by our foreign subsidiaries. As discussed in further detail below, we also have the ability to borrow money from our existing credit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2022, RBC Bearings Incorporated, our top holding company, and our Roller Bearing Company of America, Inc. subsidiary (“RBCA”) entered into a Credit Agreement (the “Credit Agreement”) with Wells Fargo Bank, National Association (“Wells Fargo”), as Administrative Agent, Collateral Agent, Swingline Lender and Letter of Credit Issuer and the other lenders party thereto. The Credit Agreement provides the Company with (a) a $1,300.0 term loan (the “Term Loan”), which was used to fund a portion of the cash purchase price for the acquisition of Dodge Industrial, Inc. (“Dodge”) and to pay related fees and expenses, and (b) a $500.0 revolving credit facility (the “Revolving Credit Facility” and together with the Term Loan, the “Facilities”). Debt issuance costs associated with the Credit Agreement totaled $14.9 and are being amortized over the life of the Credit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Initially, amounts outstanding under the Facilities generally bore interest at either, at the Company’s option, (a) a base rate determined by reference to the higher of (i) Wells Fargo’s prime lending rate, (ii) the federal funds effective rate plus 1/2 of 1.00% and (iii) the one-month LIBOR rate plus 1.00% or (b) the LIBOR rate plus a specified margin, depending on the type of borrowing being made. The applicable margin was based on the Company’s consolidated ratio of total net debt to consolidated EBITDA (as defined within the Credit Agreement) from time to time. In December 2022, the Credit Agreement was amended to replace LIBOR with the secured overnight financing rate administered by the Federal Reserve Bank of New York (“SOFR”) so that borrowings under the Facilities denominated in U.S. dollars bear interest at a rate per annum equal to Term SOFR (as defined in the Credit Agreement) plus a credit spread adjustment of 0.10% plus a margin ranging from 0.75% to 2.00% depending on the Company’s consolidated ratio of total net debt to consolidated EBITDA. The Facilities are subject to a SOFR floor of 0.00%. As of March 30, 2024, the Company’s margin was 1.25% for SOFR loans, the commitment fee rate was 0.20%, and the letter of credit fee rate was 1.25%. A portion of the Term Loan is subject to a fixed-rate interest swap as discussed in Note 13.</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$0 for fiscal 2025, $0 for fiscal 2026, and $675.0 for fiscal 2027. The Revolving Credit Facility expires in November 2026, at which time all amounts outstanding under the Revolving Credit Facility will be payable.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covenants, including the following financial covenants: (a) a maximum Total Net Leverage Ratio (as defined within the Credit Agreement) of 5.00:1.00, which maximum Total Net Leverage Ratio shall decrease during certain subsequent test periods as set forth in the Credit Agreement (provided that, no more than once during the term of the Facilities, such maximum ratio applicable at such time may be increased by the Company by 0.50:1.00 for a period of twelve (12) months after the consummation of a material acquisition); and (b) a minimum Interest Coverage Ratio of 2.00:1.00. As of March 30, 2024 the Company was in compliance with all debt covenants.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61"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30, 2024, $675.0 was outstanding under the Term Loan, $3.7 of the Revolving Credit Facility was being utilized to provide letters of credit to secure the Company’s obligations relating to certain insurance programs, and $18.0 of the Revolving Credit Facility had been used to fund the purchase of the business assets of Specline, Inc. which is discussed in Note 9. The Company had the ability to borrow up to an additional $478.3 under the Revolving Credit Facility as of March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2022, RBCA issued $500.0 aggregate principal amount of 4.375% Senior Notes due 2029 (the “Senior Notes”). The net proceeds from the issuance of the Senior Notes were approximately $492.0, after deducting initial purchasers’ discounts and commissions and offering expenses, and were used to fund a portion of the purchase price for the acquisition of Dodge.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were issued pursuant to an indenture with Wilmington Trust, National Association, as trustee (the “Indenture”). The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At any time that the Senior Notes are rated investment grade, certain of these covenants will be suspended.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Notes are guaranteed jointly and severally on a senior unsecured basis by RBC Bearings and certain of RBCA’s existing and future wholly-owned domestic subsidiaries that also guarantee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on the Senior Notes accrues at a rate of 4.375% and is payable semi–annually in cash in arrears on April 15 and October 15 of each year.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Senior Notes will mature on October 15, 2029. The Company may redeem some or all of the Senior Notes at any time on or after October 15, 2024 at the redemption prices set forth in the Indenture, plus accrued and unpaid interest, if any, to, but excluding, the redemption date. The Company may also redeem up to 40% of the Senior Notes using the proceeds of certain equity offerings completed before October 15, 2024, at a redemption price equal to 104.375% of the principal amount thereof, plus accrued and unpaid interest, if any, to, but excluding, the redemption date. In addition, at any time prior to October 15, 2024, the Company may redeem some or all of the Senior Notes at a price equal to 100% of the principal amount, plus a “make–whole” premium, plus accrued and unpaid interest, if any, to, but excluding, the redemption date. If the Company sells certain of its assets or experiences specific kinds of changes in control, the Company must offer to purchase the Senior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Foreign Borrowing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of our foreign subsidiaries, Schaublin SA, has a CHF 5.0 (approximately $5.8 USD) credit line (the “Foreign Credit Line”) with Credit Suisse (Switzerland) Ltd. to provide future working capital, if necessary. As of March 30, 2024, $2.2 had been borrowed from the Foreign Credit Line and $0.1 was being utilized to provide a bank guarantee. Fees associated with the Foreign Credit Line are nominal.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fiscal 2023, the Company entered into a three-year USD-denominated interest rate swap (“the Swap”) from a third-party financial counterparty under the Credit Agreement. The Swap was executed to protect the Company from interest rate volatility on our variable-rate Term Loan Facility. The Swap became effective December 30, 2022 and is comprised of a $600.0 notional with a maturity of three years. We receive a variable rate based on one-month Term SOFR and pay a fixed rate of 4.455%. As of March 30, 2024, approximately 75% of our debt bore interest at a fixed rate after giving effect to the Swap in place. The notional on the Swap will amortize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1: $600.0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2: $400.0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3: $100.0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Swap has been designated as a cash flow hedge of the variability of the first unhedged interest payments (the hedged transactions) paid over the hedging relationship’s specified time period of three years attributable to the borrowing’s contractually specified interest index on the hedged principal of its general borrowing program or replacement or refinancing thereof.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Fiscal 2024 Compared to Fiscal 2023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2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FY23</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cash and cash equivalents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fiscal 2024, we generated cash of $274.7 from operating activities compared to $220.6 for fiscal 2023. The increase of $54.1 was mainly the result of a $43.2 increase in net income and a $12.4 favorable change in non-cash activity partially offset by a net unfavorable change in operating assets and liabilities of $1.5. The unfavorable change in operating assets and liabilities is detailed in the table below. The change in non-cash activity was primarily driven by $3.9 more depreciation and amortization, $3.4 more stock-based compensation and a favorable change in deferred taxes of $9.1, partially offset by $4.2 less amortization of deferred financing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chart summarizes the impact on cash flow from operating assets and liabilities for fiscal 2024 versus fiscal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FY24</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FY23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change in operating assets and liabilities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2024, we used $52.2 for investing activities as compared to $14.0 for fiscal 2023. This increase in cash used was primarily attributable to $19.3 of cash used for acquisitions in fiscal 2024 compared to a favorable purchase price adjustment of $27.5 in fiscal 2023. This was partially offset by $8.8 fewer capital expenditures in fiscal 2024 compared to fiscal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2024, we used cash of $223.5 for financing activities compared to $322.8 in fiscal 2023. This favorable change was primarily due to $8.8 more proceeds from exercises of employee stock options, $20.3 of proceeds received from our revolving credit facilities and $75.0 less repayment of debt compared to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in fiscal 2024 were $33.2 compared to $42.0 in fiscal 2023. We expect to make capital expenditures of approximately 3.0% to 3.5% of net sales during fiscal 2025 in connection with our existing business. We funded our fiscal 2024 capital expenditures, and expect to fund fiscal 2025 capital expenditures, principally through existing cash and internally generated funds. We may also make substantial additional capital expenditures in connection with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We evaluate our estimates on an on-going basis. Estimates are used for, but not limited to, the accounting for the allowance for doubtful accounts, valuation of inventories, goodwill and intangible assets, depreciation and amortization, income taxes and tax reserves, the valuation of options and the valuation of business combinations.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We believe our judgments related to these accounting estimates are appropriate. Actual results may differ from these estimates under different assumptions or conditions.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performance obligations for the majority of RBC’s product sales are satisfied at the point in time in which the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shipped. The Company has determined that the customer obtains control upon shipment of the product based on the shipping terms (i.e. when it ships from RBC’s dock or when the product arrives at the customer’s dock) and recognizes revenue when control has transferred to the customer. Once a customer has obtained control, the customer is able to direct the use of, and obtain substantially all of the remaining benefits from, the asset. Approximately 98% of the Company’s revenue was recognized in this manner based on sales for the fiscal years ended March 30, 2024 and April 1, 2023.</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determined performance obligations are satisfied over time for customer contracts where RBC provides services to customers and also for a limited number of product sales. RBC has determined revenue recognition over time is appropriate for our service revenue contracts as they create or enhance an asset that the customer controls throughout the duration of the contract. Approximately 2% of the Company’s revenue was recognized in this manner based on sales for the fiscal years ended March 30, 2024 and April 1, 2023. Revenue recognition over time is appropriate for customer contracts with product sales in which the product sold has no alternative use to RBC without significant economic loss and an enforceable right to payment exists, including a normal profit margin from the customer, in the event of contract termination. These types of contracts comprised less than 1% of total sales for the fiscal years ended March 30, 2024 and April 1, 2023. For both of these types of contracts, revenue is recognized over time based on the extent of progress towards completion of the performance obligation. The Company utilizes the cost-to-cost measure of progress for over-time revenue recognition contracts as we believe this measure best depicts the transfer of control to the customer, which occurs as we incur costs on contracts. Revenues, including profits, are recorded proportionally as costs are incurred. Costs to fulfill include labor, materials, subcontractors’ costs, and other direct and indirect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over-time revenue recognition model, revenue may be recognized prior to the customer being invoiced. An unbilled receivable is recorded to reflect revenue that is recognized when (1) the cost-to-cost method is applied and (2) such revenue exceeds the amount invoiced to the customer. Contract assets are included within prepaid expenses and other current assets or other noncurrent assets on the consolidated balance sheets.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is stated at the lower of cost or net realizable value. Cost is determined by the first-in, first-out method. We account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under a full absorption method. We record adjustments to the value of inventory based upon past sales history and forecasted plans to sell our inventories. The physical condition, including age and quality, of the inventories is also considered in establishing its valuation. These adjustments are estimates, which could vary significantly, either favorably or unfavorably, from actual requirements if future economic conditions, customer inventory levels or competitive conditions differ from our expectations.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Goodwill and Indefinite-Lived Intangible Assets. </w:t>
      </w:r>
      <w:r>
        <w:rPr>
          <w:rFonts w:ascii="Times New Roman" w:cs="Times New Roman" w:eastAsia="Times New Roman" w:hAnsi="Times New Roman"/>
          <w:sz w:val="17"/>
          <w:szCs w:val="17"/>
          <w:color w:val="auto"/>
        </w:rPr>
        <w:t>Goodwill (representing the excess of the amount paid to acquire a company over the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of the net assets acquired) and indefinite-lived intangible assets are not amortized but instead are tested for impairment annually, or when events or circumstances indicate that the carrying value of such asset may not be recoverable. Separate tests are performed for goodwill and indefinite lived intangible assets. We completed a quantitative test of impairment on the indefinite lived intangible assets with no impairment noted in fiscal year 2024. The determination of any goodwill impairment is made at the reporting unit level. The Company determines the fair value of a reporting unit and compares it to its carrying amount. If the carrying amount of the reporting unit exceeds its fair value, an impairment loss is recognized for any amount by which the carrying amount exceeds the reporting unit’s fair value. The Company applies the income approach (discounted cash flow method) in testing goodwill for impairment. The key assumptions used in the discounted cash flow method used to estimate fair value include the discount rates, revenue growth rates and EBITDA margin which are affected by expectations about future market or economic conditions. Discount rates, revenue growth rates and EBITDA margin are the most sensitive and susceptible to change as they require significant management judgment. Discount rates are determined by using a weighted average cost of capital (“WACC”). The WACC considers market and industry data as well as Company-specific risk factors for each reporting unit in determining the appropriate discount rate to be used. The discount rate utilized for each reporting unit for our fiscal 2024 test was 10.0% and is indicative of the return an investor would expect to receive for investing in such a business. Terminal growth rate determination follows common methodology of capturing the present value of perpetual cash flow estimates beyond the last projected period assuming a constant WACC and long-term growth rates. The terminal growth rate used for our fiscal 2024 test was 2.5%. The Company has determined that, to date, no impairment of goodwill exists and fair value of the reporting units exceeded the carrying value in total by approximately 53.5%. The fair value of the reporting units exceeds the carrying value by a minimum of 18.8% at each of the two reporting units. A decrease of 1.0% in our terminal growth rate would not result in impairment of goodwill for any of our reporting units. An increase of 1.0% in our discount rate would not result in impairment of goodwill for any of our reporting units. Assuming no growth in EBITDA margin within the model would not result in impairment of goodwill for any of our reporting units. The Company performs the annual impairment testing during the fourth quarter of each fiscal year. Although no changes are expected, if the actual results of the Company are less favorable than the assumptions the Company makes regarding estimated cash flows, the Company may be required to record an impairment charge in the future.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Valuation of Business Combinations. </w:t>
      </w:r>
      <w:r>
        <w:rPr>
          <w:rFonts w:ascii="Times New Roman" w:cs="Times New Roman" w:eastAsia="Times New Roman" w:hAnsi="Times New Roman"/>
          <w:sz w:val="18"/>
          <w:szCs w:val="18"/>
          <w:color w:val="auto"/>
        </w:rPr>
        <w:t>We allocate the amounts we pay for each acquisition to the assets we acquire and liabilities we assume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their estimated fair values at the date of acquisition, including identifiable intangible assets, which either arise from a contractual or legal right or are separable from goodwill. We base the fair value of identifiable intangible assets acquired in a business combination on detailed valuations which are prepared with the assistance of a specialist and consider our best estimates of inputs and assumptions that a market participant would use. We utilize a specialist for these valuations due to the complexity and estimation uncertainty involved in determining the fair value given the significant assumptions involved. Significant assumptions utilized in the valuation models include discount rates, revenue growth rates and EBITDA margins. We allocate to goodwill any excess purchase price over the fair value of the net tangible and identifiable intangible assets acquired. Transaction costs associated with these acquisitions are expensed as incurred through other, net on the consolidated statements of operations.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part of the process of preparing the consolidated financial statements, we are required to estimate the income taxes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in which we operate. This process involves estimating the actual current tax liabilities together with assessing temporary differences resulting from the differing treatment of items for tax and financial reporting purposes. These differences result in deferred tax assets and liabilities, which are included in the consolidated balance sheets. We must then assess the likelihood that the deferred tax assets will be recovered, and to the extent that we believe that recovery is not more than likely, we are required to establish a valuation allowance. If a valuation allowance is established or increased during any period, we are required to include this amount as an expense within the tax provision in the consolidated statements of operations. Significant judgment is required in determining our provision for income taxes, deferred tax assets and liabilities, accrual for uncertain tax positions and any valuation allowance recognized against net deferred tax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recent accounting pronouncements, refer to Note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Changes in Prices of Raw Materials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2024, the economy experienced inflation. We purchase steel at market prices, which fluctuate as a result of supply and demand in the marketplace. To date, we have managed price increases by changing our buying patterns, expanding our vendor network, and passing increases on to our customers through price increases on our products, the assessment of steel surcharges on our customers, or entry into LTAs with our customers containing escalator provisions tied to our invoiced price of steel. However, even if we are able to pass these cost increases to our customers, there may be a time lag of several months between the time we experience a cost increase and when we implement surcharges or price increases, particularly for orders already in our backlog. As a result, our gross margin percentage may decline.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Competitive pressures and the terms of certain of our long-term contracts may require us to absorb at least part of these cost increases, particularly during periods of high inflation. Our principal raw materials are stainless and 52100 wire and rod steel (types of high alloy steel), which have historically been readily available. We have never experienced a work stoppage due to a supply shortage. We maintain multiple sources for raw materials including steel and have various supplier agreements. Through sole-source arrangements, supplier agreements and pricing, we have been able to minimize our exposure to fluctuations in raw material prices.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suppliers and sources of raw materials are based in the U.S., Europe and Asia. We believe that our sources are adequate for our needs in the foreseeable future, that there exist alternative suppliers for our raw materials, and that in most cases readily available alternative materials can be used for most of our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$3.7 of outstanding standby letters of credit, all of which are under the Revolving Credit Facility. We also have a contractual obligation for licenses related to the implementation and upgrade of an enterprise resource planning (“ERP”) system. The remaining contractual obligation related to these ERP license costs of $7.6 will end in June of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the items noted above, we had no significant off-balance sheet arrangements as of March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risks, which arise during the normal course of business from changes in interest rates and foreign currency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Rates. </w:t>
      </w:r>
      <w:r>
        <w:rPr>
          <w:rFonts w:ascii="Times New Roman" w:cs="Times New Roman" w:eastAsia="Times New Roman" w:hAnsi="Times New Roman"/>
          <w:sz w:val="18"/>
          <w:szCs w:val="18"/>
          <w:color w:val="auto"/>
        </w:rPr>
        <w:t>We currently have variable rate debt outstanding under the Term Loan Facility. We regularly evaluate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on our net income and cash flow and take action to limit our exposure when appropriate. As discussed in “Liquidity and Capital Resources” in Item 7 of this Annual Report, we have utilized an interest rate swap to fix a portion of the variable rate interest expense associated with the Term Loan. As of March 30, 2024, approximately 75% of our debt bears interest at a fixed rate after giving effect to the interest rate swap agreement in place.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Foreign Currency Exchange Rates. </w:t>
      </w:r>
      <w:r>
        <w:rPr>
          <w:rFonts w:ascii="Times New Roman" w:cs="Times New Roman" w:eastAsia="Times New Roman" w:hAnsi="Times New Roman"/>
          <w:sz w:val="18"/>
          <w:szCs w:val="18"/>
          <w:color w:val="auto"/>
        </w:rPr>
        <w:t>As an international company, our operations transact in the following foreign currencies:</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Australia – Australian dollar</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 – rupee</w:t>
            </w:r>
          </w:p>
        </w:tc>
      </w:tr>
      <w:tr>
        <w:trPr>
          <w:trHeight w:val="432"/>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Canada – Canadian dollar</w:t>
            </w:r>
          </w:p>
        </w:tc>
        <w:tc>
          <w:tcPr>
            <w:tcW w:w="2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Mexico – peso</w:t>
            </w:r>
          </w:p>
        </w:tc>
      </w:tr>
      <w:tr>
        <w:trPr>
          <w:trHeight w:val="432"/>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China – Chinese yuan</w:t>
            </w:r>
          </w:p>
        </w:tc>
        <w:tc>
          <w:tcPr>
            <w:tcW w:w="2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Poland – zloty</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 and Germany – euro</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Switzerland – Swiss franc</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England – British pound</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we are exposed to risk associated with fluctuating currency exchange rates between the U.S. dollar and these currencies. Foreign currency transaction gains and losses are included in earnings. Approximately 12% of our net sales were impacted by foreign currency fluctuations in fiscal 2024 compared to approximately 12% of net sales in fiscal 2023. For those countries outside the U.S. where we have sales, a strengthening in the U.S. dollar or devaluation in the local currency would reduce the value of our local inventory as presented in our consolidated financial statements. In addition, a stronger U.S. dollar or a weaker local currency would result in reduced net sales, operating profit and shareholders’ equity due to the impact of foreign exchange translation on our consolidated financial statements. Fluctuations in foreign currency exchange rates may make our products more expensive or increase our operating costs, affecting our competitiveness and our profitability.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U.S. dollar and other currencies and volatile economic, political and market conditions in emerging market countries have in the past adversely affected our financial performance and may in the future adversely affect the value of our assets located outside the United States and our results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periodically enter into derivative financial instruments in the form of forward exchange contracts to reduce the effect of fluctuations in exchange rates on certain third-party sales and purchase transactions denominated in non-functional currencies. As of March 30, 2024, the Company had no forward exchange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RBC Bearings Incorporated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RBC Bearings Incorporated (the Company) as of March 30, 2024 and April 1, 2023, the related consolidated statements of operations, comprehensive income, stockholders’ equity and cash flows for each of the three years in the period ended March 30, 2024, and the related notes (collectively referred to as the “consolidated financial statements”). In our opinion, the consolidated financial statements present fairly, in all material respects, the financial position of the Company at March 30, 2024 and April 1, 2023, and the results of its operations and its cash flows for each of the three years in the period ended March 30, 2024,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30, 2024, based on criteria established in Internal Control—Integrated Framework issued by the Committee of Sponsoring Organizations of the Treadway Commission (2013 framework), and our report dated May 17,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ind w:left="1920"/>
        <w:spacing w:after="0"/>
        <w:rPr>
          <w:sz w:val="20"/>
          <w:szCs w:val="20"/>
          <w:color w:val="auto"/>
        </w:rPr>
      </w:pPr>
      <w:r>
        <w:rPr>
          <w:rFonts w:ascii="Times New Roman" w:cs="Times New Roman" w:eastAsia="Times New Roman" w:hAnsi="Times New Roman"/>
          <w:sz w:val="17"/>
          <w:szCs w:val="17"/>
          <w:b w:val="1"/>
          <w:bCs w:val="1"/>
          <w:i w:val="1"/>
          <w:iCs w:val="1"/>
          <w:color w:val="auto"/>
        </w:rPr>
        <w:t>Valuation of Goodwill – Annual impairment evaluation</w:t>
      </w:r>
    </w:p>
    <w:p>
      <w:pPr>
        <w:sectPr>
          <w:pgSz w:w="11900" w:h="16838" w:orient="portrait"/>
          <w:cols w:equalWidth="0" w:num="1">
            <w:col w:w="11240"/>
          </w:cols>
          <w:pgMar w:left="320" w:top="873" w:right="339" w:bottom="1440" w:gutter="0" w:footer="0" w:header="0"/>
        </w:sect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30, 2024, the Company’s goodwill was $1,874.9 million. As discussed in Notes 2 and 10 of the consolidated financial statements, goodwill is tested for impairment at the reporting unit level annually, or when events or circumstances indicate that the carrying value of such asset may not be recoverable. The Company estimates the fair value of its reporting units using an income approach, specifically a discounted cash flow analysis.</w:t>
      </w:r>
    </w:p>
    <w:p>
      <w:pPr>
        <w:spacing w:after="0" w:line="180" w:lineRule="exact"/>
        <w:rPr>
          <w:sz w:val="20"/>
          <w:szCs w:val="20"/>
          <w:color w:val="auto"/>
        </w:rPr>
      </w:pPr>
    </w:p>
    <w:p>
      <w:pPr>
        <w:sectPr>
          <w:pgSz w:w="11900" w:h="16838" w:orient="portrait"/>
          <w:cols w:equalWidth="0" w:num="2">
            <w:col w:w="1300" w:space="620"/>
            <w:col w:w="9320"/>
          </w:cols>
          <w:pgMar w:left="320" w:top="873" w:right="339" w:bottom="1440" w:gutter="0" w:footer="0" w:header="0"/>
          <w:type w:val="continuous"/>
        </w:sectPr>
      </w:pPr>
    </w:p>
    <w:p>
      <w:pPr>
        <w:jc w:val="both"/>
        <w:ind w:left="1920"/>
        <w:spacing w:after="0" w:line="261" w:lineRule="auto"/>
        <w:rPr>
          <w:sz w:val="20"/>
          <w:szCs w:val="20"/>
          <w:color w:val="auto"/>
        </w:rPr>
      </w:pPr>
      <w:r>
        <w:rPr>
          <w:rFonts w:ascii="Times New Roman" w:cs="Times New Roman" w:eastAsia="Times New Roman" w:hAnsi="Times New Roman"/>
          <w:sz w:val="18"/>
          <w:szCs w:val="18"/>
          <w:color w:val="auto"/>
        </w:rPr>
        <w:t>Auditing management’s annual goodwill impairment test was complex and highly judgmental due to the significant estimation required to determine the fair value of the reporting units. The fair value estimates were sensitive to changes in significant assumptions such as the discount rates, revenue growth rates and EBITDA margin which are affected by expectations about future market or economic conditions.</w:t>
      </w:r>
    </w:p>
    <w:p>
      <w:pPr>
        <w:sectPr>
          <w:pgSz w:w="11900" w:h="16838" w:orient="portrait"/>
          <w:cols w:equalWidth="0" w:num="1">
            <w:col w:w="11240"/>
          </w:cols>
          <w:pgMar w:left="320" w:top="873" w:right="339" w:bottom="1440" w:gutter="0" w:footer="0" w:header="0"/>
          <w:type w:val="continuous"/>
        </w:sectPr>
      </w:pPr>
    </w:p>
    <w:p>
      <w:pPr>
        <w:spacing w:after="0" w:line="178"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including controls over management’s review of the significant assumptions described above.</w:t>
      </w:r>
    </w:p>
    <w:p>
      <w:pPr>
        <w:spacing w:after="0" w:line="176" w:lineRule="exact"/>
        <w:rPr>
          <w:sz w:val="20"/>
          <w:szCs w:val="20"/>
          <w:color w:val="auto"/>
        </w:rPr>
      </w:pPr>
    </w:p>
    <w:p>
      <w:pPr>
        <w:sectPr>
          <w:pgSz w:w="11900" w:h="16838" w:orient="portrait"/>
          <w:cols w:equalWidth="0" w:num="2">
            <w:col w:w="1660" w:space="260"/>
            <w:col w:w="9320"/>
          </w:cols>
          <w:pgMar w:left="320" w:top="873" w:right="339" w:bottom="1440" w:gutter="0" w:footer="0" w:header="0"/>
          <w:type w:val="continuous"/>
        </w:sectPr>
      </w:pPr>
    </w:p>
    <w:p>
      <w:pPr>
        <w:jc w:val="both"/>
        <w:ind w:left="1920"/>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Company’s reporting units, we performed audit procedures, with the assistance of our valuation specialists, that included, among others, assessing the methodologies utilized and testing the significant assumptions discussed above and the underlying data used by the Company in its analysis. We compared the significant assumptions used by management to current industry and economic trends. We assessed the historical accuracy of management’s estimates and performed sensitivity analyses of significant assumptions to evaluate the changes in the fair value of the reporting units that would result from changes in the underlying assumptions. In addition, we evaluated the reconciliation of the fair value of the reporting units to the market capitalization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ectPr>
          <w:pgSz w:w="11900" w:h="16838" w:orient="portrait"/>
          <w:cols w:equalWidth="0" w:num="1">
            <w:col w:w="11240"/>
          </w:cols>
          <w:pgMar w:left="320" w:top="873"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40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$4.4 at March 30, 2024 and $3.7 at April 1, 2023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1,926.7</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2,154.5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$.01 par value; authorized shares: 10,000,000 as of March 30, 2024 and April 1, 2023, respectively;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shares: 4,600,000 as of March 30, 2024 and April 1, 2023,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authorized shares: 60,000,000 at March 30, 2024 and April 1, 2023, respectively;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shares: 30,227,444 and 29,989,948 at March 30, 2024 and April 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1,625.2</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1,216.8</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1,015,053 shares and 966,398 shares at March 30, 2024 and April 1, 2023, respectively</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9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attributable to common stockholders: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28,917,008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28,764,092</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26,946,355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29,189,056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29,072,429</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27,311,029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16"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ectPr>
          <w:pgSz w:w="11900" w:h="16838" w:orient="portrait"/>
          <w:cols w:equalWidth="0" w:num="1">
            <w:col w:w="11140"/>
          </w:cols>
          <w:pgMar w:left="320" w:top="873" w:right="4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2" w:lineRule="auto"/>
        <w:rPr>
          <w:sz w:val="20"/>
          <w:szCs w:val="20"/>
          <w:color w:val="auto"/>
        </w:rPr>
      </w:pPr>
      <w:r>
        <w:rPr>
          <w:rFonts w:ascii="Times New Roman" w:cs="Times New Roman" w:eastAsia="Times New Roman" w:hAnsi="Times New Roman"/>
          <w:sz w:val="17"/>
          <w:szCs w:val="17"/>
          <w:color w:val="auto"/>
        </w:rPr>
        <w:t xml:space="preserve">Pension and postretirement liability adjustments, net of taxes </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8"/>
          <w:szCs w:val="18"/>
          <w:color w:val="auto"/>
        </w:rPr>
        <w:t xml:space="preserve">Change in fair value of derivatives, net of taxes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income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April 2,</w:t>
            </w:r>
          </w:p>
        </w:tc>
        <w:tc>
          <w:tcPr>
            <w:tcW w:w="20" w:type="dxa"/>
            <w:vAlign w:val="bottom"/>
          </w:tcPr>
          <w:p>
            <w:pPr>
              <w:spacing w:after="0"/>
              <w:rPr>
                <w:sz w:val="17"/>
                <w:szCs w:val="17"/>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20"/>
                <w:szCs w:val="20"/>
                <w:color w:val="auto"/>
              </w:rPr>
            </w:pPr>
          </w:p>
        </w:tc>
      </w:tr>
      <w:tr>
        <w:trPr>
          <w:trHeight w:val="238"/>
        </w:trPr>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238"/>
        </w:trPr>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r>
      <w:tr>
        <w:trPr>
          <w:trHeight w:val="27"/>
        </w:trPr>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6600" w:space="720"/>
            <w:col w:w="3820"/>
          </w:cols>
          <w:pgMar w:left="320" w:top="873" w:right="439" w:bottom="1440" w:gutter="0" w:footer="0" w:header="0"/>
          <w:type w:val="continuous"/>
        </w:sectPr>
      </w:pPr>
    </w:p>
    <w:p>
      <w:pPr>
        <w:ind w:left="340" w:hanging="332"/>
        <w:spacing w:after="0"/>
        <w:tabs>
          <w:tab w:leader="none" w:pos="3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These adjustments were net of tax expense of $0.4, tax expense of $2.0 and tax expense of $1.1 in fiscal 2024, 2023 and 2022, respectively.</w:t>
      </w:r>
    </w:p>
    <w:p>
      <w:pPr>
        <w:spacing w:after="0" w:line="163" w:lineRule="exact"/>
        <w:rPr>
          <w:rFonts w:ascii="Times New Roman" w:cs="Times New Roman" w:eastAsia="Times New Roman" w:hAnsi="Times New Roman"/>
          <w:sz w:val="29"/>
          <w:szCs w:val="29"/>
          <w:color w:val="auto"/>
          <w:vertAlign w:val="superscript"/>
        </w:rPr>
      </w:pPr>
    </w:p>
    <w:p>
      <w:pPr>
        <w:ind w:left="340" w:hanging="332"/>
        <w:spacing w:after="0" w:line="186"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adjustments were net of tax expense of $1.0 and net of tax benefit of $0.6 in fiscal 2024 and fiscal 2023, respectively.</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73" w:right="4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60" w:type="dxa"/>
            <w:vAlign w:val="bottom"/>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48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April 3, 2021</w:t>
            </w:r>
          </w:p>
        </w:tc>
        <w:tc>
          <w:tcPr>
            <w:tcW w:w="720" w:type="dxa"/>
            <w:vAlign w:val="bottom"/>
            <w:tcBorders>
              <w:lef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26,110,320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700" w:type="dxa"/>
            <w:vAlign w:val="bottom"/>
            <w:tcBorders>
              <w:lef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843.4</w:t>
            </w:r>
          </w:p>
        </w:tc>
        <w:tc>
          <w:tcPr>
            <w:tcW w:w="120" w:type="dxa"/>
            <w:vAlign w:val="bottom"/>
            <w:shd w:val="clear" w:color="auto" w:fill="CCEEFF"/>
          </w:tcPr>
          <w:p>
            <w:pPr>
              <w:spacing w:after="0"/>
              <w:rPr>
                <w:sz w:val="12"/>
                <w:szCs w:val="12"/>
                <w:color w:val="auto"/>
              </w:rPr>
            </w:pPr>
          </w:p>
        </w:tc>
        <w:tc>
          <w:tcPr>
            <w:tcW w:w="700" w:type="dxa"/>
            <w:vAlign w:val="bottom"/>
            <w:tcBorders>
              <w:lef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(884,701)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7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7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equity awards</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149,896</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26"/>
        </w:trPr>
        <w:tc>
          <w:tcPr>
            <w:tcW w:w="2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pension and post-retirement</w:t>
            </w:r>
          </w:p>
        </w:tc>
        <w:tc>
          <w:tcPr>
            <w:tcW w:w="72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 benefit adjustments, net of tax</w:t>
            </w:r>
          </w:p>
        </w:tc>
        <w:tc>
          <w:tcPr>
            <w:tcW w:w="82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 of $1.1</w:t>
            </w:r>
          </w:p>
        </w:tc>
        <w:tc>
          <w:tcPr>
            <w:tcW w:w="820" w:type="dxa"/>
            <w:vAlign w:val="bottom"/>
            <w:tcBorders>
              <w:lef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tcBorders>
              <w:lef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stock, net of</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96,992</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 issuance, net of issuance</w:t>
            </w:r>
          </w:p>
        </w:tc>
        <w:tc>
          <w:tcPr>
            <w:tcW w:w="82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4,600,000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445.3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445.3</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820" w:type="dxa"/>
            <w:vAlign w:val="bottom"/>
            <w:tcBorders>
              <w:lef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tcBorders>
              <w:lef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issuance, net of issuance</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3,450,000</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605.5</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Balance at April 2, 2022</w:t>
            </w:r>
          </w:p>
        </w:tc>
        <w:tc>
          <w:tcPr>
            <w:tcW w:w="7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80" w:type="dxa"/>
            <w:vAlign w:val="bottom"/>
            <w:vMerge w:val="continue"/>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29,807,208</w:t>
            </w:r>
          </w:p>
        </w:tc>
        <w:tc>
          <w:tcPr>
            <w:tcW w:w="100" w:type="dxa"/>
            <w:vAlign w:val="bottom"/>
            <w:vMerge w:val="continue"/>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vMerge w:val="continue"/>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4,600,000</w:t>
            </w:r>
          </w:p>
        </w:tc>
        <w:tc>
          <w:tcPr>
            <w:tcW w:w="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1,564.3</w:t>
            </w:r>
          </w:p>
        </w:tc>
        <w:tc>
          <w:tcPr>
            <w:tcW w:w="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886.1</w:t>
            </w:r>
          </w:p>
        </w:tc>
        <w:tc>
          <w:tcPr>
            <w:tcW w:w="120" w:type="dxa"/>
            <w:vAlign w:val="bottom"/>
            <w:vMerge w:val="continue"/>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(928,322)</w:t>
            </w:r>
          </w:p>
        </w:tc>
        <w:tc>
          <w:tcPr>
            <w:tcW w:w="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(72.4)</w:t>
            </w:r>
          </w:p>
        </w:tc>
        <w:tc>
          <w:tcPr>
            <w:tcW w:w="2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2,372.5</w:t>
            </w:r>
          </w:p>
        </w:tc>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equity awards</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116,563</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pension and post-retirement</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 benefit adjustments, net of tax</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 of $2.0</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stock, net of</w:t>
            </w:r>
          </w:p>
        </w:tc>
        <w:tc>
          <w:tcPr>
            <w:tcW w:w="82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66,177</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820" w:type="dxa"/>
            <w:vAlign w:val="bottom"/>
            <w:tcBorders>
              <w:lef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tcBorders>
              <w:lef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derivatives, net of</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of $0.6</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Balance at April 1, 2023</w:t>
            </w:r>
          </w:p>
        </w:tc>
        <w:tc>
          <w:tcPr>
            <w:tcW w:w="7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vMerge w:val="continue"/>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29,989,948</w:t>
            </w:r>
          </w:p>
        </w:tc>
        <w:tc>
          <w:tcPr>
            <w:tcW w:w="100" w:type="dxa"/>
            <w:vAlign w:val="bottom"/>
            <w:vMerge w:val="continue"/>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vMerge w:val="continue"/>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4,600,000</w:t>
            </w:r>
          </w:p>
        </w:tc>
        <w:tc>
          <w:tcPr>
            <w:tcW w:w="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1,589.9</w:t>
            </w:r>
          </w:p>
        </w:tc>
        <w:tc>
          <w:tcPr>
            <w:tcW w:w="6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1,029.9</w:t>
            </w:r>
          </w:p>
        </w:tc>
        <w:tc>
          <w:tcPr>
            <w:tcW w:w="120" w:type="dxa"/>
            <w:vAlign w:val="bottom"/>
            <w:vMerge w:val="continue"/>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(966,398)</w:t>
            </w:r>
          </w:p>
        </w:tc>
        <w:tc>
          <w:tcPr>
            <w:tcW w:w="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(80.1)</w:t>
            </w:r>
          </w:p>
        </w:tc>
        <w:tc>
          <w:tcPr>
            <w:tcW w:w="2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2,535.9</w:t>
            </w:r>
          </w:p>
        </w:tc>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(48,655)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equity awards</w:t>
            </w:r>
          </w:p>
        </w:tc>
        <w:tc>
          <w:tcPr>
            <w:tcW w:w="820" w:type="dxa"/>
            <w:vAlign w:val="bottom"/>
            <w:tcBorders>
              <w:left w:val="single" w:sz="8" w:color="CCEEFF"/>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168,321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pension and post-retirement</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 benefit adjustments, net of tax</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 of $0.4</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stock, net of</w:t>
            </w:r>
          </w:p>
        </w:tc>
        <w:tc>
          <w:tcPr>
            <w:tcW w:w="820" w:type="dxa"/>
            <w:vAlign w:val="bottom"/>
            <w:tcBorders>
              <w:lef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69,175</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820" w:type="dxa"/>
            <w:vAlign w:val="bottom"/>
            <w:tcBorders>
              <w:lef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tcBorders>
              <w:left w:val="single" w:sz="8" w:color="CCEEFF"/>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derivatives, net of</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expense of $1.0</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Balance at March 30, 2024</w:t>
            </w:r>
          </w:p>
        </w:tc>
        <w:tc>
          <w:tcPr>
            <w:tcW w:w="7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8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30,227,444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1,216.8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(1,015,053</w:t>
            </w:r>
          </w:p>
        </w:tc>
        <w:tc>
          <w:tcPr>
            <w:tcW w:w="120" w:type="dxa"/>
            <w:vAlign w:val="bottom"/>
            <w:gridSpan w:val="2"/>
            <w:vMerge w:val="continue"/>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4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2,751.9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9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209.9</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and restructuring and other non-cash charges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businesses and related purchase price adjustments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loans, net of financing costs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senior notes, net of financing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fees paid in connection with credit facilities and senior notes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term loans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 paid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equity awards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(223.5)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(322.8)</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(Decrease)/increase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427"/>
        </w:trPr>
        <w:tc>
          <w:tcPr>
            <w:tcW w:w="4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4"/>
        </w:trPr>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7"/>
        </w:trPr>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50"/>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-641985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-359410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6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RBC Bearings Incorporated, together with its subsidiaries, is an international manufacturer and marketer of highly engineered precision bearings, components and essential systems for the industrial, defense and aerospace industries, which are integral to the manufacture and operation of most machines, aircraft and mechanical systems, to reduce wear to moving parts, facilitate proper power transmission, reduce damage and energy loss caused by friction and control pressure and flow. The terms “we,” “us,” “our,” “RBC” and the “Company” mean RBC Bearings Incorporated and its subsidiaries, unless the context indicates another meaning. While we manufacture products in all major categories, we focus primarily on highly technical or regulated bearing products and engineered products for specialized markets that require sophisticated design, testing and manufacturing capabilities. We believe our unique expertise has enabled us to garner leading positions in many of the product markets in which we primarily compete. Over the past 19 years, we have broadened our end markets, products, customer base and geographic reach. We currently have 54 facilities in 11 countries, of which 38 are manufacturing facilities.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operates in two reportable business segments—aerospace/defense and industrial—in which it manufactures roller bearing components and assembled parts and designs and manufactures high-precision roller and ball bearings. The Company sells to a wide variety of original equipment manufacturers (“OEMs”) and distributors who are widely dispersed geographically. No one customer accounted for more than 17% of the Company’s net sales in fiscal 2024, 16% of net sales in fiscal 2023 and 11% of net sales in fiscal 2022. The Company’s segments are further discussed in Note 20.</w:t>
      </w:r>
    </w:p>
    <w:p>
      <w:pPr>
        <w:spacing w:after="0" w:line="179" w:lineRule="exact"/>
        <w:rPr>
          <w:sz w:val="20"/>
          <w:szCs w:val="20"/>
          <w:color w:val="auto"/>
        </w:rPr>
      </w:pPr>
    </w:p>
    <w:p>
      <w:pPr>
        <w:ind w:right="7680" w:firstLine="8"/>
        <w:spacing w:after="0" w:line="503"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General</w:t>
      </w: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RBC Bearings Incorporated and its wholly-owned subsidiaries. All intercompany balances and transactions have been eliminated in consolidation.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fiscal year consisting of 52 or 53 weeks, ending on the Saturday closest to March 31. Based on this policy, fiscal year 2024 contained 52 weeks, fiscal year 2023 contained 52 weeks and fiscal year 2022 contained 52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are used for, but not limited to, the accounting for the allowance for doubtful accounts, valuation of inventories, goodwill and intangible assets, depreciation and amortization, income taxes and tax reserves, purchase price allocation for acquired assets and liabilities, and the valuation of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contract with a customer exists when there is commitment and approval from both parties involved, the rights of the parties are identified, payment terms are defined, the contract has commercial substance, and collectability of consideration is probable. The Company has determined that the contract with the customer is established when the customer purchase order is accepted or acknowledged. LTAs are used by the Company and certain of its customers to reduce their supply uncertainty for a period of time, typically multiple years. While these LTAs define commercial terms including pricing, termination rights and other contractual requirements, they do not represent the contract with the customer for revenue recognition purposes.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the Company accepts or acknowledges a customer purchase order, the type of good or service is defined on a line-by-line basis. The majority of the Company’s revenue relates to the sale of goods and contains a single performance obligation for each distinct good. The remainder of the Company’s revenue from customers is generated from services performed. These services include repair and refurbishment work performed on customer-controlled assets as well as design and test work.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Transaction price reflects the amount of consideration that the Company expects to be entitled to in exchange for transferred goods or services. A contract’s transaction price is allocated to each distinct performance obligation and revenue is recognized as the performance obligation is satisfied. The Company generally sells products and services with observable standalone selling prices.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performance obligations for the majority of RBC’s product sales are satisfied at the point in time in which the products are shipped. The Company has determined that the customer obtains control upon shipment of the product based on the shipping terms (i.e. when it ships from RBC’s dock or when the product arrives at the customer’s dock) and recognizes revenue when control has transferred to the customer. Once a customer has obtained control, the customer is able to direct the use of, and obtain substantially all of the remaining benefits from, the asset.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determined performance obligations are satisfied over time for customer contracts where RBC provides services to customers and also for a limited number of product sales. RBC has determined revenue recognition over time is appropriate for our service revenue contracts as they create or enhance an asset that the customer controls throughout the duration of the contract. Revenue recognition over time is appropriate for customer contracts with product sales in which the product sold has no alternative use to RBC without significant economic loss and an enforceable right to payment exists, including a normal profit margin from the customer, in the event of contract termination. These types of contracts comprised less than 1% of total sales for the fiscal years ended March 30, 2024, April 1, 2023 and April 2, 2022, respectively. For both of these types of contracts, revenue is recognized over time based on the extent of progress towards completion of the performance obligation. The Company utilizes the cost-to-cost measure of progress for over-time revenue recognition contracts as the Company believes this measure best depicts the transfer of control to the customer, which occurs as the Company incurs costs on contracts. Revenues, including profits, are recorded proportionally as costs are incurred. Costs to fulfill include labor, materials, subcontractors’ costs, and other direct and indirect costs.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Contract costs are the incremental costs of obtaining and fulfilling a contract (i.e., costs that would not have been incurred if the contract had not been obtained) to provide goods and services to customers. Contract costs largely consist of design and development costs for molds, dies and other tools that RBC will own and that will be used in producing the products under the supply arrangements. These contract costs are amortized to expense on a systematic and rational basis over a period consistent with the transfer to the customer of the goods or services to which the asset relates and are recorded in cost of sales. Costs incurred to obtain a contract are primarily related to sales commissions and are expensed as incurred. These costs are included within selling, general and administrative costs on the consolidated statements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contracts, the Company facilitates shipping and handling activities after control has transferred to the customer. The Company has elected to record all shipping and handling activities as costs to fulfill a contract. In situations where the shipping and handling costs have not been incurred at the time revenue is recognized, the estimated shipping and handling costs are accrued.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Assistance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Like other companies involved in the aerospace industry that were impacted by the COVID-19 pandemic, the Company took part in the Aviation Manufacturing Jobs Protection (“AMJP”) program. The AMJP program provided funding to eligible businesses to pay a portion of their compensation costs for certain categories of employees for a period of time as part of a U.S. Department of Transportation program designed to maintain jobs in the aviation industry. During the fiscal years ended March 30, 2024, April 1, 2023 and April 2, 2022, the Company recorded grant revenue of $0.0, $3.1 and $4.4, respectively, all of which was recorded within cost of sales on the consolidated statements of operations. The Company does not expect to receive any future grant revenue associated with the AMJP program. The Company is not currently receiving grant revenue from any other sources and does not anticipate doing so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maintains its cash accounts with various banks and has not experienced any losses in such accounts.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Accounts Receivable, Net and Concentration of Credit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include amounts billed and currently due from customers. The amounts due are stated at their estimated net realizable value. The Company maintains an allowance for doubtful accounts for estimated losses resulting from the inability of its customers to make required payments. The Company uses an expected credit loss model to estimate the credit losses expected over the life of an exposure (or pool of exposures). The estimate of expected credit losses considers historical information, current information and reasonable and supportable forecasts, including estimates of prepayments. Financial instruments with similar risk characteristics are grouped together when estimating expected credit losses. The Company will write off accounts receivable after reasonable collection efforts have been made and the accounts are deemed uncollectible.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sells to a large number of OEMs and distributors who service the aftermarket. The Company’s credit risk associated with accounts receivable is minimized due to its customer base and wide geographic dispersion. The Company performs ongoing credit evaluations of its customers’ financial condition and generally does not require collateral or charge interest on outstanding amounts. The Company had concentrations of credit risk with no individual customer greater than 10% as of March 30, 2024 or April 1, 2023 with the exception of Motion Industries. Approximately 16% and 15% of accounts receivable at both March 30, 2024 and April 1, 2023, respectively, were attributable to Motion Industries.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determined by the first-in, first-out method. The Company accounts for inventory under a full absorption method, and records adjustments to the value of inventory based upon past sales history and forecasted plans to sell our inventories. The physical condition, including age and quality, of the inventories is also considered in establishing its valuation. These adjustments are estimates, which could vary significantly, either favorably or unfavorably, from actual requirements if future economic conditions, customer inventory levels or competitive conditions differ from our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(Unbilled Receivables)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over-time revenue recognition model, revenue may be recognized prior to the customer being invoiced. An unbilled receivable is recorded to reflect revenue that is recognized when (1) the cost-to-cost method is applied and (2) such revenue exceeds the amount invoiced to the customer. Contract assets are included within prepaid expenses and other current assets or other noncurrent assets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of property, plant and equipment, is recorded using the straight-line method over the estimated useful lives of the respective assets. Depreciation of assets is reported within depreciation and amortization. Expenditures for normal maintenance and repairs are charged to expense as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useful lives of the Company’s property, plant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20-30 years</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3-15 years</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Shorter of the term of lease or estimated useful life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For leases where the Company is the lessee, it recognizes lease assets and related lease liabilities at the lease commencement date based on the present value of lease payments over the lease term. The lease term is the noncancellable period for which a lessee has the right to use an underlying asset, including periods covered by an option to extend the lease if the lessee is reasonably certain to exercise that option and periods covered by an option to terminate the lease if the lessee is reasonably certain not to exercise that option. For renewal options, the Company performs an assessment at commencement if it is reasonably likely to exercise the option. The assessment is based on the Company’s intentions, past practices, estimates and factors that create an economic incentive for the Company. Generally, the Company is not reasonably certain to exercise the renewal option in a lease contract, with the exception of some of our leased manufacturing facilities. While some of the Company’s leases include options allowing early termination of the lease, the Company historically has not terminated its lease agreements early unless there is an economic, financial or business reason to do so; therefore, the Company does not typically consider the termination option in its lease term at commencement.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must classify each lease as a finance lease or an operating lease. The Company’s finance leases are included in property, plant and equipment, net. Amortization of these assets is included in depreciation and amortization expense. The Company’s operating leases consist of rent commitments under various leases for office space, warehouses, land and buildings.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of the Company’s leases do not provide an implicit interest rate. As a result, the Company uses its incremental borrowing rate based on the information available at the commencement date in determining the present value of lease payments.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Subsequent to the initial measurement, the lease liability continues to be measured at the present value of unpaid lease payments throughout the lease term. The lease liability is remeasured if the lease is modified and the modification is not accounted for as a separate contract, there is a change in the assessment of the lease term, the assessment of a purchase option exercise or the amount probable of being owed under a residual value guarantee, or a contingency is resolved resulting in some or all of the variable lease payments becoming fixed payments. Subsequent to the initial measurement, the right-of-use asset for a finance lease is equivalent to the initial measurement less accumulated amortization and any accumulated impairment losses. Generally, amortization of finance leases is recorded to cost of sales on a straight-line basis over the lease term. Subsequent to initial measurement, the right-of-use asset for an operating lease is equivalent to initial measurement less accumulated amortization.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(representing the excess of the amount paid to acquire a company over the estimated fair value of the net assets acquired) and indefinite-lived intangible assets are not amortized but instead are tested for impairment annually, or when events or circumstances indicate that the carrying value of such asset may not be recoverable. Separate tests are performed for goodwill and indefinite lived intangible assets. We completed a quantitative test of impairment on the indefinite lived intangible assets with no impairment noted in fiscal year 2024. The determination of any goodwill impairment is made at the reporting unit level. The Company determines the fair value of a reporting unit and compares it to its carrying amount. If the carrying amount of the reporting unit exceeds its fair value, an impairment loss is recognized for any amount by which the carrying amount exceeds the reporting unit’s fair value. The Company applies the income approach (discounted cash flow method) in testing goodwill for impairment. The key assumptions used in the discounted cash flow method used to estimate fair value include the discount rates, revenue growth rates and EBITDA margin which are affected by expectations about future market or economic conditions. Discount rates, revenue growth rates and EBITDA margin are the most sensitive and susceptible to change as they require significant management judgment. Discount rates are determined by using a weighted average cost of capital (“WACC”). The WACC considers market and industry data as well as Company-specific risk factors for each reporting unit in determining the appropriate discount rate to be used. The discount rate utilized for each reporting unit for our fiscal 2024 test was 10.0% and is indicative of the return an investor would expect to receive for investing in such a business. Terminal growth rate determination follows common methodology of capturing the present value of perpetual cash flow estimates beyond the last projected period assuming a constant WACC and long-term growth rates. The terminal growth rate used for our fiscal 2024 test was 2.5%. The Company has determined that, to date, no impairment of goodwill exists and fair value of the reporting units exceeded the carrying value in total by approximately 53.5%. The fair value of the reporting units exceeds the carrying value by a minimum of 18.8% at each of the two reporting units.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(Deferred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receive a customer advance or deposit prior to revenue being recognized. Since the performance obligations related to such advances may not have been satisfied, a contract liability is established. Contract liabilities are included within accrued expenses and other current liabilities or other noncurrent liabilities on the consolidated balance sheets until the respective revenue is recognized. Advance payments are not considered a significant financing component as the timing of the transfer of the related goods or services is at the discretion of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which requires it to recognize a current tax liability or asset for current taxes payable or refundable and a deferred tax liability or asset for the estimated future tax effects of temporary differences between the financial statement and tax reporting bases of assets and liabilities to the extent that they are realizable. Deferred tax expense (benefit) results from the net change in deferred tax assets and liabilities during the year. A valuation allowance is recorded to reduce deferred tax assets to the amount that is more likely than not to be realized. The Company is exposed to certain tax contingencies in the ordinary course of business and records those tax liabilities in accordance with the guidance for accounting for uncertain tax positions.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Temporary differences relate primarily to the timing of deductions for depreciation, stock-based compensation, goodwill amortization relating to the acquisition of operating divisions, amortization of intangible assets, basis differences arising from acquisition accounting, pension and retirement benefits, and various accrued and prepaid expenses. Deferred tax assets and liabilities are recorded at the rates expected to be in effect when the temporary differences are expected to reverse.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Minimum Tax</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attributable to common stockholders is computed by dividing net income attributable to common stockholders by the weighted-average number of common shares outstanding.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attributable to common stockholders is computed by dividing net income attributable to common stockholders by the sum of the weighted-average number of common shares and dilutive common share equivalents then outstanding using the treasury stock method. Common share equivalents consist of the incremental common shares issuable upon the exercise of stock options and the conversion of MCPS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our outstanding preferred stock) to common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exclude outstanding stock options, stock awards and the MCPS from the calculations if the effect would be anti-dilutive. The dilutive effect of the MCPS is calculated using the if-converted method. The if-converted method assumes that these securities were converted to shares of common stock at the beginning of the reporting period to the extent that the effect is dilutive. If the effect is anti-dilutive, we calculate net income per share attributable to common stockholders by adjusting net income in the numerator for the effect of the cumulative MCPS dividends for the respective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years ended March 30, 2024 and April 1, 2023, the effect of assuming the conversion of the 4,600,000 shares of MCPS into shares of common stock was anti-dilutive, and therefore excluded from the calculation of diluted earnings per share attributable to common stockholders. Accordingly, net income was reduced by cumulative MCPS dividends, as presented in our consolidated statement of operations, for purposes of calculating net income attributable to common stockholders.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fiscal year ended March 30, 2024, 120,954 employee stock options and 250 restricted shares were excluded from the calculation of diluted earnings per share attributable to common stockholders. For the fiscal year ended April 1, 2023, 110,368 employee stock options and 1,185 restricted shares were excluded from the calculation of diluted earnings per share attributable to common stockholders. At April 2, 2022, 179,289 employee stock options and 325 restricted shares were excluded from the calculation of diluted earnings per share attributable to common stockholders. The inclusion of these employee stock options and restricted shares would have been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reflects the calculation of weighted-average shares outstanding for each period presented as well as the computation of basic and diluted net income per share attributable to common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9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3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per share attributable to common stockholders — 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28,917,008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28,764,092</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26,946,355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dilution due to employee stock awards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308,337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364,674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Denominator for diluted net income per share attributable to common stockholders — weighted-</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29,189,056</w:t>
            </w:r>
          </w:p>
        </w:tc>
        <w:tc>
          <w:tcPr>
            <w:tcW w:w="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29,072,429</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27,311,029</w:t>
            </w:r>
          </w:p>
        </w:tc>
        <w:tc>
          <w:tcPr>
            <w:tcW w:w="0" w:type="dxa"/>
            <w:vAlign w:val="bottom"/>
          </w:tcPr>
          <w:p>
            <w:pPr>
              <w:spacing w:after="0"/>
              <w:rPr>
                <w:sz w:val="1"/>
                <w:szCs w:val="1"/>
                <w:color w:val="auto"/>
              </w:rPr>
            </w:pPr>
          </w:p>
        </w:tc>
      </w:tr>
      <w:tr>
        <w:trPr>
          <w:trHeight w:val="255"/>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net realizable value of its long-lived assets and evaluates such assets for impairment whenever indicators of impairment are present. For amortizable long-lived assets to be held and used, if indicators of impairment are present, management determines whether the sum of the estimated undiscounted future cash flows is less than the carrying amount. The amount of asset impairment, if any, is based on the excess of the carrying amount over its fair value, which is estimated based on projected discounted future operating cash flows using a discount rate reflecting the Company’s average cost of funds. During fiscal year 2024, impairment charges related to machinery and equipment and certain patents and trademarks totaling $2.5 were recorded based on our internal assessments performed.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Long-lived assets to be disposed of by sale or other means are reported at the lower of carrying amount or fair value, less costs to sell.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are translated into U.S. dollars using the exchange rate in effect at the balance sheet date. Results of operations are translated using the average exchange rate prevailing throughout the period. The effects of exchange rate fluctuations on translating foreign currency assets and liabilities from their functional currencies to the reporting currency are included in accumulated other comprehensive income (loss), while gains and losses resulting from foreign currency transactions are included in other non-operating expense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Costs are incurred in connection with efforts aimed at discovering and implementing new knowledge that is critical to developing new products, processes or services, significantly improving existing products or services, and developing new applications for existing products and services. Research and development costs for the creation of new and improved products, processes and services were approximately $33.0, $31.8 and $27.6, for fiscal years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Inputs used to measure fair value are within a hierarchy consisting of three levels. Level 1 inputs represent unadjusted quoted prices in active markets for identical assets or liabilities. Level 2 inputs represent unadjusted quoted prices in active markets for similar assets or liabilities, or unadjusted quoted prices for identical or similar assets or liabilities in markets that are not active, or inputs other than quoted prices that are observable for the asset or liability. Level 3 inputs represent unobservable inputs for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balance sheet for cash and cash equivalents, accounts receivable, accounts payable and accruals, and other current liabilities approximate their fair value due to their short-term nature.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carrying amounts of the Company’s borrowings under the Facilities approximate fair value, as these obligations have interest rates which vary in conjunction with current market conditions and have been classified as Level 2 in the valuation hierarchy. The Senior Notes are reported at carrying value on the consolidated balance sheets. The fair value of the Senior Notes as of March 30, 2024 was $456.8 and was computed based on quoted market prices (observable inputs) and classified as Level 1 of the fair value hierarchy. The fair value of the interest rate swap was $1.6 at March 30, 2024, measured using Level 2 inputs. This amount is included in other noncurrent liabilities on the Company consolidated balance sheets. The fair value of the interest rate swap remaining in accumulated other comprehensive income, net of taxes, was $1.2 as of March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comprehensive income (loss) that relate to the Company are net income, foreign currency translation adjustments and pension plan and postretirement benefits, all of which are presented in the consolidated statements of stockholders’ equity and comprehensive income (loss).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activity within each component of accumulated other comprehensive income (loss),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59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2"/>
                <w:szCs w:val="2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net income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foreign currency translation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gain, net of tax expense of $0.4</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 instrument, net of tax expense of $0.9</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relating to all stock-based payment transactions in the financial statements based upon the grant-date fair value of the instruments issued over the requisite service period. The fair value of each option grant was estimated on the date of grant using the Black-Scholes pricing model. The Company estimates expected forfeitures at the grant date and recognizes stock-based compensation costs, accordingly. The Company also recognizes stock-based compensation cost relating to restricted stock awards that are earned by employees prior to being granted as liability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segments and address requests from investors for additional, more detailed information about a reportable segment’s expenses. Following the release of ASU 2023-07 in November 2023, the effective date will be annual reporting periods beginning after December 15, 2024. As of March 30, 2024, the Company is evaluating the impact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March 30, 2024, the Company is evaluating the impact on its consolidated financial statements.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March 30, 2024 are not expected to have a material impact on our financial position,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total revenue by end market which is how we view our reportable segments (see Note 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60" w:type="dxa"/>
            <w:vAlign w:val="bottom"/>
          </w:tcPr>
          <w:p>
            <w:pPr>
              <w:spacing w:after="0"/>
              <w:rPr>
                <w:sz w:val="16"/>
                <w:szCs w:val="16"/>
                <w:color w:val="auto"/>
              </w:rPr>
            </w:pPr>
          </w:p>
        </w:tc>
        <w:tc>
          <w:tcPr>
            <w:tcW w:w="96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3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Aerospace/Defense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430.3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1,039.0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total revenue by geographic origin: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160" w:type="dxa"/>
            <w:vAlign w:val="bottom"/>
          </w:tcPr>
          <w:p>
            <w:pPr>
              <w:spacing w:after="0"/>
              <w:rPr>
                <w:sz w:val="16"/>
                <w:szCs w:val="16"/>
                <w:color w:val="auto"/>
              </w:rPr>
            </w:pPr>
          </w:p>
        </w:tc>
        <w:tc>
          <w:tcPr>
            <w:tcW w:w="9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1,292.9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176.4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1,469.3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approximate percentage of revenue recognized for performance obligations satisfied over time versus the amount of revenue recognized for performance obligations satisfied at a point in time: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380" w:type="dxa"/>
            <w:vAlign w:val="bottom"/>
            <w:gridSpan w:val="2"/>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11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6"/>
                <w:szCs w:val="16"/>
                <w:color w:val="auto"/>
              </w:rPr>
            </w:pPr>
          </w:p>
        </w:tc>
      </w:tr>
      <w:tr>
        <w:trPr>
          <w:trHeight w:val="265"/>
        </w:trPr>
        <w:tc>
          <w:tcPr>
            <w:tcW w:w="7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3"/>
                <w:szCs w:val="23"/>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Point-in-time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orders meeting the definition of a contract in the new revenue standard for which work has not been performed or has been partially performed and excludes unexercised contract options. The duration of the majority of our contracts, as defined by ASC Topic 606, is less than one year. The Company has elected to apply the practical expedient, which allows companies to exclude remaining performance obligations with an original expected duration of one year or less. The aggregate amount of the transaction price allocated to remaining performance obligations for such contracts with a duration of more than one year was approximately $464.4 at March 30, 2024. The Company expects to recognize revenue on approximately 62% and 92% of the remaining performance obligations over the next 12 and 24 months, respectively, with the remainder recognized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affect accounts receivable, unbilled receivables (contract assets) and customer advances and deposits (contract liabilities) on the consolidated balance sheets. These assets and liabilities are reported on the consolidated balance sheets on an individual contract basis at the end of each reporting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Assets (Unbilled Receivables) </w:t>
      </w:r>
      <w:r>
        <w:rPr>
          <w:rFonts w:ascii="Times New Roman" w:cs="Times New Roman" w:eastAsia="Times New Roman" w:hAnsi="Times New Roman"/>
          <w:sz w:val="18"/>
          <w:szCs w:val="18"/>
          <w:color w:val="auto"/>
        </w:rPr>
        <w:t>- Pursuant to the over-time revenue recognition model, revenue may be recognized prior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invoiced. An unbilled receivable is recorded to reflect revenue that is recognized when (1) the cost-to-cost method is applied and (2) such revenue exceeds the amount invoiced to the customer.</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30, 2024 and April 1, 2023, current contract assets were $6.9 and $4.5, respectively, and included within prepaid expenses and other current assets on the consolidated balance sheets. The increase in contract assets was primarily due to the recognition of revenue related to the satisfaction or partial satisfaction of performance obligations prior to billing partially offset by amounts billed to customers during the period. As of March 30, 2024 and April 1, 2023, the Company did not have any contract assets classified as noncurrent on the consolidated balance sheets.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(Deferred Revenue) </w:t>
      </w:r>
      <w:r>
        <w:rPr>
          <w:rFonts w:ascii="Times New Roman" w:cs="Times New Roman" w:eastAsia="Times New Roman" w:hAnsi="Times New Roman"/>
          <w:sz w:val="18"/>
          <w:szCs w:val="18"/>
          <w:color w:val="auto"/>
        </w:rPr>
        <w:t>- The Company may receive a customer advance or deposit, or have an unconditional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advance, prior to revenue being recognized. Since the performance obligations related to such advances may not have been satisfied, a contract liability is established. Advance payments are not considered a significant financing component as the timing of the transfer of the related goods or services is at the discretion of the customer.</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30, 2024 and April 1, 2023, current contract liabilities were $22.5 and $20.6, respectively, and included within accrued expenses and other current liabilities on the consolidated balance sheets. The increase in current contract liabilities was primarily due to advance payments received and the reclassification of a portion of advance payments received from the noncurrent portion of contract liabilities partially offset by revenue recognized on customer contracts. For the year ended March 30, 2024, the Company recognized revenues of $16.4 that were included in the contract liability balance as of April 1, 2023. For the year ended April 1, 2023, the Company recognized revenues of $13.1 that were included in the contract liability balance at April 2, 2022.</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30, 2024 and April 1, 2023, noncurrent contract liabilities were $19.9 and $19.8, respectively, and included within other noncurrent liabilities on the consolidated balance sheets. The increase in noncurrent contract liabilities was primarily due to advance payments received partially offset by the reclassification of a portion of advance payments received to the current portion of contract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 of consideration to which the Company expects to be entitled in exchange for the goods and services is not generally subject to significant variations. However, the Company does offer certain customers rebates, prompt payment discounts, end-user discounts, the right to return eligible products, and/or other forms of variable consideration. The Company estimates this variable consideration using the expected value amount, which is based on historical experience. The Company includes estimated amounts in the transaction price to the extent it is probable that a significant reversal of cumulative revenue recognized will not occur when the uncertainty associated with the variable consideration is resolved. The Company adjusts the estimate of revenue at the earlier of when the amount of consideration the Company expects to receive changes or when the consideration becomes fixed. Accrued customer rebates were $38.0 and $39.6 at March 30, 2024 and April 1, 2023, respectively, and are included within accrued expenses and other current liabilities on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expected to be received to sell an asset or paid to transfer a liability in an orderly transaction between market participants at the measurement date (exit price). The FASB provides accounting rules that classify the inputs used to measure fair value into the following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for the asset or liability.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occurrence of triggering events such as purchase accounting for acquisitions, the Company measures certain assets and liabilities based on Level 3 inputs.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trade accounts payable, short-term borrowings, long-term debt, and a derivative in the form of an interest rate swap. Due to their short-term nature, the carrying value of cash and cash equivalents, accounts receivable, trade accounts payable, accrued expenses and short-term borrowings are a reasonable estimate of their fair value. Long-term assets held on our balance sheets related to benefit plan obligations are measured at fair value. The fair value of the Company’s long-term fixed-rate debt, based on quoted market prices, was $456.8 and $450.0 at March 30, 2024 and April 1, 2023, respectively. The carrying value of this debt was $494.2 at March 30, 2024 and $493.3 at April 1, 2023. The fair value of long-term fixed-rate debt was measured using Level 1 inputs. Due to the nature of fair value calculations for variable-rate debt, the carrying value of the Company’s long-term variable-rate debt is a reasonable estimate of its fair value. The fair value of the interest rate swap was $1.6 and $2.8 at March 30, 2024 and April 1, 2023, respectively, and was measured using Level 2 inputs. This amount is included in other noncurrent liabilities on the Company’s consolidated balance sheets. The interest rate swap, net of taxes, had accumulated other comprehensive income of $1.2 and accumulated other comprehensive loss of $2.2 as of March 30, 2024 and April 1, 2023 and was included in accumulated other comprehensive income/(loss) on the Company’s consolidated balance sheets, and in the Company’s consolidated statements of comprehensive income.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believe it has significant concentrations of risk associated with the counterparties to its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Allowance for Doubtful Accounts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the allowance for doubtful accounts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End of Year</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30, 2024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price discrepancies, customer returns, disposition and acquisition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65"/>
        </w:trPr>
        <w:tc>
          <w:tcPr>
            <w:tcW w:w="86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138.1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137.9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346.8</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622.8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65"/>
        </w:trPr>
        <w:tc>
          <w:tcPr>
            <w:tcW w:w="86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25.2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497.8</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93"/>
              </w:rPr>
              <w:t>698.0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672.3</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361.0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$48.9, $46.2 and $30.8 for the fiscal years ended March 30, 2024, April 1, 2023, and April 2,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30, 2024, $51.8 of assets included in buildings and improvements and $7.9 of assets included in machinery and equipment were accounted for as finance leases. For the year ended April 1, 2023, $51.5 of assets included in buildings and improvements and $6.5 of assets included in machinery and equipment were accounted for as finance leases. At March 30, 2024 and April 1, 2023, the Company had accumulated amortization of $10.3 and $5.8 associated with these assets, respectively. Amortization expense associated with these finance leases was $4.9, $4.5 and $1.3 for the years ended March 30, 2024, April 1, 2023 and April 2, 2022, respectively, and is included within depreciation expense as mentioned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enters into leases for manufacturing facilities, warehouses, sales offices, information technology equipment, plant equipment, vehicles and certain other equipment with varying end dates from April 2024 to March 2043, including renewal options.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impact of leasing on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4620" w:type="dxa"/>
            <w:vAlign w:val="bottom"/>
          </w:tcPr>
          <w:p>
            <w:pPr>
              <w:spacing w:after="0"/>
              <w:rPr>
                <w:sz w:val="21"/>
                <w:szCs w:val="21"/>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assets, net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r>
      <w:tr>
        <w:trPr>
          <w:trHeight w:val="248"/>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leased assets, net</w:t>
            </w:r>
          </w:p>
        </w:tc>
        <w:tc>
          <w:tcPr>
            <w:tcW w:w="3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0"/>
        </w:trPr>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Noncurrent operating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r>
      <w:tr>
        <w:trPr>
          <w:trHeight w:val="23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20"/>
                <w:szCs w:val="20"/>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3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46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paid associated with operating lease liabilities was $8.1 and $8.5 for the fiscal years ended March 30, 2024 and April 1, 2023, respectively, all of which were included within the operating cash flow section of the consolidated statements of cash flows. Lease assets obtained in exchange for new operating lease liabilities were $1.7 and $2.0 for the fiscal years ended March 30, 2024 and April 1, 2023, respectively. Lease modifications which resulted in newly obtained lease assets in exchange for new operating lease liabilities were $5.4 and $3.1 for the fiscal years ended March 30, 2024 and April 1, 2023, respectively.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paid associated with finance lease liabilities was $5.3 and $5.0 for the fiscal years ended March 30, 2024 and April 1, 2023, respectively. Of these amounts, $3.6 and $3.2 were included within the financing cash flow section of the consolidated statements of cash flows for the fiscal years ended March 30, 2024 and April 1, 2023, respectively. $1.8 and $1.8 of these cash payments were included within the operating cash flow section of the consolidated statements of cash flows for the fiscal years ended March 30, 2024 and April 1, 2023, respectively. Lease assets obtained in exchange for new finance lease liabilities were $2.3 and $4.0 for the fiscal years ended March 30, 2024 and April 1, 2023, respectively. Lease modifications which resulted in reductions of lease assets in exchange for reductions of finance lease liabilities were $0.0 and $0.1 for the fiscal years ended March 30, 2024 and April 1,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operating lease expense was $10.1, $9.9 and $8.3 for the fiscal years ended March 30, 2024, April 1, 2023 and April 2,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and variable lease expense were immaterial.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finance lease expense was $6.7 for the fiscal year ended March 30, 2024, of which, $5.0 was related to amortization expense of finance lease assets and $1.7 was related to interest expense. Total finance lease expense was $6.4 for the fiscal year ended April 1, 2023, of which, $4.5 was related to amortization expense of finance lease assets and $1.9 was related to interest expense. Variable lease expense was immaterial.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undiscounted lease payments for the remaining lease terms as of March 30, 2024, including renewal options reasonably certain of being exercised,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One to two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to three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Three to four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to five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on March 30, 2024 for our operating leases is 10.2 years. The weighted-average discount rate on March 30, 2024 for our operating leases is 5.7%.</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on March 30, 2024 for our finance leases is 14.3 years. The weighted-average discount rate on March 30, 2024 for our finance leases is 3.5%.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Specline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18, 2023, RBC acquired the business assets of Specline, Inc. (“Specline”) for $18.7. The Company accounted for the transaction as a business combination for accounting purposes. Specline, which is based in Carson City, Nevada, is a manufacturer of precision bearings for the commercial and defense aerospace markets. The preliminary purchase price allocation is as follows: $1.4 of accounts receivable, $4.0 of inventory, $1.5 of fixed assets, $0.8 of operating lease assets, $8.8 of intangible assets, $2.1 of earnout liability, and $0.8 of operating lease liabilities. Goodwill of $5.1 resulting from the purchase price allocation is not deductible for tax purposes and is subject to change pending a final valuation of the assets and liabilities. Specline is included in the Aerospace/Defense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balances, by segment,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Aerospace/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Defense</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Acquisition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April 1, 2023</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194.1</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1,675.7</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Acquisition </w:t>
            </w:r>
            <w:r>
              <w:rPr>
                <w:rFonts w:ascii="Times New Roman" w:cs="Times New Roman" w:eastAsia="Times New Roman" w:hAnsi="Times New Roman"/>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30, 2024</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Purchase price adjustments associated with the acquisition of Dodge Industrial.</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Goodwill associated with the acquisition of Specline, Inc. discussed further in Note 9.</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net book value and weighted average useful lives of our intangible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5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approvals</w:t>
            </w: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lists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1,300.7</w:t>
            </w: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1,293.7</w:t>
            </w:r>
          </w:p>
        </w:tc>
        <w:tc>
          <w:tcPr>
            <w:tcW w:w="5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217.2</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w:t>
            </w: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5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5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r>
      <w:tr>
        <w:trPr>
          <w:trHeight w:val="203"/>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1,598.1</w:t>
            </w:r>
          </w:p>
        </w:tc>
        <w:tc>
          <w:tcPr>
            <w:tcW w:w="2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1,589.9</w:t>
            </w: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repair station certifications</w:t>
            </w:r>
          </w:p>
        </w:tc>
        <w:tc>
          <w:tcPr>
            <w:tcW w:w="1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tcBorders>
          </w:tcPr>
          <w:p>
            <w:pPr>
              <w:jc w:val="center"/>
              <w:ind w:left="30"/>
              <w:spacing w:after="0" w:line="203" w:lineRule="exact"/>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1,622.4</w:t>
            </w: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1,614.2</w:t>
            </w: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definite-lived intangible assets during fiscal years 2024, 2023 and 2022 was $70.4, $69.1 and $34.7,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five succeeding fiscal years and thereafter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6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1,033.8</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components of accrued expenses and other current liabilities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65"/>
        </w:trPr>
        <w:tc>
          <w:tcPr>
            <w:tcW w:w="438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Workers compensation and insurance</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preferred stock dividends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Audit fees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Returns and warranties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expense costs</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3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6" w:right="339" w:bottom="393"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Credit Facility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which was entered into in fiscal 2022, provides the Company with (a) the $1,300.0 Term Loan, which was used to fund a portion of the purchase price for the acquisition of Dodge and to pay related fees and expenses, and (b) the $500.0 Revolving Credit Facility. Debt issuance costs associated with the Credit Agreement totaled $14.9 and are being amortized over the life of the Credit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Initially, amounts outstanding under the Facilities generally bore interest at either, at the Company’s option, (a) a base rate determined by reference to the higher of (i) Wells Fargo’s prime lending rate, (ii) the federal funds effective rate plus 1/2 of 1.00% and (iii) the one-month LIBOR rate plus 1.00% or (b) the LIBOR rate plus a specified margin, depending on the type of borrowing being made. The applicable margin was based on the Company’s consolidated ratio of total net debt to consolidated EBITDA (as defined within the Credit Agreement) from time to time. In December 2022, the Credit Agreement was amended to replace LIBOR with the secured overnight financing rate administered by the Federal Reserve Bank of New York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SOFR) so that borrowings under the Facilities denominated in U.S. dollars bear interest at a rate per annum equal to Term SOFR (as defined in the Credit Agreement) plus a credit spread adjustment of 0.10% plus a margin ranging from 0.75% to 2.00% depending on the Company’s consolidated ratio of total net debt to consolidated EBITDA. The Facilities are subject to a SOFR floor of 0.00%. As of March 30, 2024, the Company’s margin was 1.25% for SOFR loans, the commitment fee rate was 0.20%, and the letter of credit fee rate was 1.25%. A portion of the Term Loan is subject to a fixed-rate interest swap as discussed in Note 13.</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$0 for fiscal 2025, $0 for fiscal 2026, and $675.0 for fiscal 2027. The Revolving Credit Facility expires in November 2026, at which time all amounts outstanding under the Revolving Credit Facility will be payable.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covenants, including the following financial covenants: (a) a maximum Total Net Leverage Ratio (as defined within the Credit Agreement) of 5.00:1.00, which maximum Total Net Leverage Ratio shall decrease during certain subsequent test periods as set forth in the Credit Agreement (provided that, no more than once during the term of the Facilities, such maximum ratio applicable at such time may be increased by the Company by 0.50:1.00 for a period of twelve (12) months after the consummation of a material acquisition); and (b) a minimum Interest Coverage Ratio of 2.00:1.00. As of March 30, 2024 the Company was in compliance with all debt covenants.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30, 2024, $675.0 was outstanding under the Term Loan, $3.7 of the Revolving Credit Facility was being utilized to provide letters of credit to secure the Company’s obligations relating to certain insurance programs, and $18.0 of the Revolving Credit Facility had been used to fund the purchase of the business assets of Specline, Inc. which is discussed in Note 9. The Company had the ability to borrow up to an additional $478.3 under the Revolving Credit Facility as of March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2022, RBCA issued $500.0 aggregate principal amount of Senior Notes. The net proceeds from the issuance of the Senior Notes were approximately $492.0, after deducting initial purchasers’ discounts and commissions and offering expenses, and were used to fund a portion of the cash purchase price for the acquisition of Dodge.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were issued pursuant to the Indenture with Wilmington Trust, National Association, as trustee. The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At any time that the Senior Notes are rated investment grade, certain of these covenants will be suspended.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Notes are guaranteed jointly and severally on a senior unsecured basis by RBC Bearings and certain of RBCA’s existing and future wholly-owned domestic subsidiaries that also guarantee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on the Senior Notes accrues at a rate of 4.375% and is payable semi–annually in cash in arrears on April 15 and October 15 of each year.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Senior Notes will mature on October 15, 2029. The Company may redeem some or all of the Senior Notes at any time on or after October 15, 2024 at the redemption prices set forth in the Indenture, plus accrued and unpaid interest, if any, to, but excluding, the redemption date. The Company may also redeem up to 40% of the Senior Notes using the proceeds of certain equity offerings completed before October 15, 2024, at a redemption price equal to 104.375% of the principal amount thereof, plus accrued and unpaid interest, if any, to, but excluding, the redemption date. In addition, at any time prior to October 15, 2024, the Company may redeem some or all of the Senior Notes at a price equal to 100% of the principal amount, plus a “make–whole” premium, plus accrued and unpaid interest, if any, to, but excluding, the redemption date. If the Company sells certain of its assets or experiences specific kinds of changes in control, the Company must offer to purchase the Senior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Borrowing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Foreign Credit Line provides Schaublin SA with a CHF 5.0 (approximately $5.8 USD) credit line with Credit Suisse (Switzerland) Ltd. to provide future working capital, if necessary. As of March 30, 2024, $2.2 had been borrowed from the Foreign Credit Line and $0.1 was being utilized to provide a bank guarantee. Fees associated with the Foreign Credit Line are nominal.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balances payable under all borrowing facilities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65"/>
        </w:trPr>
        <w:tc>
          <w:tcPr>
            <w:tcW w:w="86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and term loan facilities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including market risks relating to fluctuations in interest rates. Derivative financial instruments are recognized on the consolidated balance sheets as either assets or liabilities and are measured at fair value. Changes in the fair values of derivatives are recorded each period in earnings or accumulated other comprehensive income, depending on whether a derivative is effective as part of a hedged transaction. Gains and losses on derivative instruments reported in accumulated other comprehensive income (loss) are subsequently included in earnings in the periods in which earnings are affected by the hedged item. The Company does not use derivative instruments for speculative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2023, the Company entered into the three-year USD-denominated Swap with a third-party financial counterparty under the Credit Agreement (see Note 12). The Swap was executed to protect the Company from interest rate volatility on our variable-rate Term Loan Facility. The Swap became effective December 30, 2022 and is comprised of a $600.0 notional with a maturity of three years. The notional is $400.0 as of March 30, 2024. We receive a variable rate based on one-month Term SOFR and pay a fixed rate of 4.455%. As of March 30, 2024, after given effect to the Swap, approximately 75% of our debt bore interest at a fixed rate after giving effect to the interest rate swap agreement in place. The notional on the Swap will amortize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1: $600.0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2: $400.0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Year 3: $100.0</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Swap has been designated as a cash flow hedge of the variability of the first unhedged interest payments (the hedged transactions) paid over the hedging relationship’s specified time period of three years attributable to the borrowing’s contractually specified interest index on the hedged principal of its general borrowing program or replacement or refinancing thereof. The fair value of the Swap has been disclosed in Note 4. The accumulated other comprehensive income derivative component balance, net of taxes, was a $1.2 gain and a $2.2 loss at March 30, 2024 and April 1, 2023, respectively. The gain/loss reclassified from accumulated other comprehensive income into earnings will be recorded as interest income/expense on the Swap and will be included in the operating section of the Company’s 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significant components of other noncurrent liabilities consist of:</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65"/>
        </w:trPr>
        <w:tc>
          <w:tcPr>
            <w:tcW w:w="86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income tax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Noncontributory Defined Benefit Pension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30, 2024, the Company had one consolidated noncontributory defined benefit pension plan (the “Plan”) covering current and former union employees in its Heim division plant in Fairfield, Connecticut, its Precision Products subsidiary plant in Plymouth, Indiana and former union employees of the Tyson subsidiary in Glasgow, Kentucky and the Nice subsidiary in Kulpsville, Pennsylvania.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Plan assets are comprised primarily of equity and fixed income investments. As of March 30, 2024 and April 1, 2023, Plan assets were $9.1 and $8.7,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above investments was determined using quoted market prices of identical instruments. Therefore, the valuation inputs within the fair value hierarchy established by ASC 820 were classified as Level 1 of the valuation hierarchy.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under the Plan are not a function of employees’ salaries; thus, the accumulated benefit obligation equals the projected benefit obligation.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30, 2024 and April 1, 2023, the projected benefit obligation was $3.7 and $3.8,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discount rates used in determining the funded status of the Plan as of March 30, 2024 and April 1, 2023 were 5.00% and 4.70%, respectively.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funded status of the Plan and the amount recognized in the balance sheet at March 30, 2024 and April 1, 2023 were $5.4 and $4.9, respectively. These overfunded amounts are included within noncurrent assets on the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periodic benefit cost of the Plan for fiscal years 2024, 2023 and 2022 was $0.1, $0.2 and $0.0, respectively. The discount rate used to determine net periodic benefit cost for fiscal years 2024, 2023 and 2022 was 4.70%, 3.30% and 2.70%,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Two of the Company’s foreign operations, Schaublin and Swiss Tool, sponsor pension plans for their approximately 163 and 34 employees, respectively, in conformance with Swiss pension law. The Schaublin plan is funded with an independent semi-autonomous collective provident foundation whereas the Swiss Tool plan is funded with a reputable Swiss insurer. The unfunded liabilities of these plans at March 30, 2024 and April 1, 2023 were $2.3 and $1.5, respectively, and recorded within other noncurrent liabilities on the consolidated balance sheets. For fiscal 2024, 2023 and 2022, net periodic benefit cost for these plans was $2.0, $1.8 and $1.7,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defined contribution plans under Section 401(k) of the Internal Revenue Code for all of its employees not covered by a collective bargaining agreement. Employer contributions under this plan, ranging from 10% - 100% of eligible amounts contributed by employees, amounted to $9.6, $8.6 and $4.6 in fiscal 2024,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non-qualified Supplemental Executive Retirement Plan (“SERP”) for a select group of senior management employees. The SERP allows eligible employees to elect to defer up to 75% of their current salary and up to 100% of bonus compensation. As of March 30, 2024 and April 1, 2023, the SERP assets were $33.0 and $28.6, respectively, and are included within other noncurrent assets on the consolidated balance sheets. As of March 30, 2024 and April 1, 2023, the SERP liabilities were $29.9 and $25.7, respectively, and are included within other noncurrent liabilities on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Health Care Plans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for the benefit of current and former union employees at its Heim, West Trenton, Plymouth and PIC facilities and former union employees of its Tyson and Nice subsidiaries, sponsors contributory defined benefit health care plans that provide postretirement medical and life insurance benefits to union employees who have attained certain age and/or service requirements while employed by the Company. The plans are unfunded and costs are paid as incurred. Postretirement benefit obligations were $2.2 and $2.4 at March 30, 2024 and April 1, 2023, respectively. Of these amounts, $0.2 is considered current and is included within accrued expenses and other current liabilities on the consolidated balance sheets as of both March 30, 2024 and April 1, 2023. The remainder of the balances are included in other noncurrent liabilities in the consolidated balance sheets. The Company also maintains a frozen defined benefit heath care plan for Dodge employees with postretirement benefit obligations of $5.8 and $6.3 at March 30, 2024 and April 1, 2023, respectively. Of these amounts, $0.8 were considered current at both March 30, 2024 and April 1, 2023. The amounts are included within the same balance sheet line items as other postretirement health care plans maintained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Income before income taxes for the Company’s domestic and foreign operations is as follows: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1"/>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1"/>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7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1"/>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21"/>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7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income taxes</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analysis of the difference between the provision for income taxes and the amount computed by applying the U.S. statutory income tax rate to pre-tax income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20" w:type="dxa"/>
            <w:vAlign w:val="bottom"/>
          </w:tcPr>
          <w:p>
            <w:pPr>
              <w:spacing w:after="0"/>
              <w:rPr>
                <w:sz w:val="16"/>
                <w:szCs w:val="16"/>
                <w:color w:val="auto"/>
              </w:rPr>
            </w:pPr>
          </w:p>
        </w:tc>
        <w:tc>
          <w:tcPr>
            <w:tcW w:w="10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442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using U.S. federal statutory rate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derived intangible income (FDII)</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unrecognized tax positions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9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deferred tax assets (liabilities) are comprised of the following: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24"/>
                <w:szCs w:val="24"/>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59"/>
        </w:trPr>
        <w:tc>
          <w:tcPr>
            <w:tcW w:w="8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accruals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gross deferred tax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deferred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deferred tax assets to ensure that the estimated future taxable income will be sufficient in character (i.e. capital versus ordinary income treatment), amount and timing to result in their recovery. After considering the positive and negative evidence, a valuation allowance has been recorded on foreign tax credits and on certain state and foreign credits and net operating losses as it is more likely than not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greater than a 50% likelihood) that these items will not be utilized. For the Company’s fiscal year ended March 30, 2024 the valuation allowance decreased by $1.5, which primarily related to the expiration of a capital loss carryforward. For the fiscal year ended April 1, 2023 the valuation allowance decreased by less than $0.2. These valuation allowances are required because management has determined, based on financial projections and available tax strategies, that it is unlikely the net operating losses and credits will be utilized before they expire. If events or circumstances change, valuation allowances are adjusted at that time resulting in an income tax benefit or charge.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30, 2024, the Company had state net operating loss carryovers in different jurisdictions at varying amounts up to $5.3, which expire at various dates through 2036. At March 30, 2024, the Company had foreign net operating loss carryovers in different jurisdictions at varying amounts totaling $2.7, which will expire at various dates through fiscal 2028. At March 30, 2024, the Company had U.S. federal and state credits in different jurisdictions at varying amounts up to $11.0 which principally expire at various dates through 2038. At March 30, 2024, the Company had Canadian investment tax credits up to $0.2 which will expire at various dates through 2038.</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accounting standards (ASC 740) a deferred tax liability is not recorded for the excess of the tax basis over the financial reporting (book) basis of an investment in a foreign subsidiary if the indefinite reinvestment criteria is met. The Tax Cuts and Jobs Act (TCJA) required a mandatory deemed repatriation of certain undistributed earnings of the Company’s foreign subsidiaries as of December 31, 2017, and income taxes were accrued accordingly. If these deemed repatriated earnings were distributed in the form of cash dividends, the Company would not be subject to additional U.S. income taxes, other than tax arising from the movement of foreign exchange rates on previously taxed earnings, but could be subject to foreign income and withholding taxes. A provision had not been made for additional U.S. and foreign taxes at March 30, 2024 on approximately $71.9 of undistributed earnings of foreign subsidiaries or for any additional tax on the deemed repatriated earnings because the Company intends to reinvest these funds indefinitely to support foreign growth opportunities and foreign operations. Due to the inherent complexity of the multinational tax environment in which the Company operates, it is not practicable to estimate the unrecognized deferred tax liability on these undistributed earnings. These earnings could become subject to additional tax under certain circumstances including, but not limited to, loans to the Company, or upon sale or pledging of the foreign subsidiary’s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Unrecognized income tax benefits represent income tax positions taken on income tax returns but not yet recognized in the consolidated financial statements. If recognized, substantially all of the unrecognized tax benefits for the Company’s fiscal years ended March 30, 2024 and April 1, 2023 would affect the effective income tax rate.</w:t>
      </w:r>
    </w:p>
    <w:p>
      <w:pPr>
        <w:sectPr>
          <w:pgSz w:w="11900" w:h="16838" w:orient="portrait"/>
          <w:cols w:equalWidth="0" w:num="1">
            <w:col w:w="11240"/>
          </w:cols>
          <w:pgMar w:left="320" w:top="875"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increases (decreases) – tax positions taken during a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Gross increases – tax positions taken during the current period</w:t>
      </w:r>
    </w:p>
    <w:p>
      <w:pPr>
        <w:spacing w:after="0" w:line="9" w:lineRule="exact"/>
        <w:rPr>
          <w:sz w:val="20"/>
          <w:szCs w:val="20"/>
          <w:color w:val="auto"/>
        </w:rPr>
      </w:pPr>
    </w:p>
    <w:p>
      <w:pPr>
        <w:ind w:right="2400"/>
        <w:spacing w:after="0" w:line="339" w:lineRule="auto"/>
        <w:rPr>
          <w:sz w:val="20"/>
          <w:szCs w:val="20"/>
          <w:color w:val="auto"/>
        </w:rPr>
      </w:pPr>
      <w:r>
        <w:rPr>
          <w:rFonts w:ascii="Times New Roman" w:cs="Times New Roman" w:eastAsia="Times New Roman" w:hAnsi="Times New Roman"/>
          <w:sz w:val="18"/>
          <w:szCs w:val="18"/>
          <w:color w:val="auto"/>
        </w:rPr>
        <w:t>Reductions due to lapse of the applicable statute of limitations 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8"/>
                <w:szCs w:val="18"/>
                <w:color w:val="auto"/>
              </w:rPr>
            </w:pPr>
          </w:p>
        </w:tc>
        <w:tc>
          <w:tcPr>
            <w:tcW w:w="10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8"/>
        </w:trPr>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16.6</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34"/>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197" w:lineRule="exact"/>
        <w:rPr>
          <w:sz w:val="20"/>
          <w:szCs w:val="20"/>
          <w:color w:val="auto"/>
        </w:rPr>
      </w:pPr>
    </w:p>
    <w:p>
      <w:pPr>
        <w:sectPr>
          <w:pgSz w:w="11900" w:h="16838" w:orient="portrait"/>
          <w:cols w:equalWidth="0" w:num="2">
            <w:col w:w="6900" w:space="420"/>
            <w:col w:w="3920"/>
          </w:cols>
          <w:pgMar w:left="320" w:top="875"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the interest and penalties accrued related to unrecognized tax benefits in income tax expense. The Company recognized a benefit of $0.3 for the fiscal year ended March 30, 2024 and expense of $0.1 and $0.1 related to interest and penalties on its statement of operations for the fiscal years ended April 1, 2023 and April 2, 2022, respectively. The Company had approximately $1.2 and $1.5 of accrued interest and penalties at March 30, 2024 and April 1, 2023,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 is reasonably possible that some of its unrecognized tax positions may be effectively settled by the end of the Company’s fiscal year ending March 29, 2025, due to the closing of audits and the statute of limitations expiring in various jurisdictions. The decrease, pertaining primarily to federal and state credits and state tax, is estimated to be $1.9.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numerous U.S. and foreign jurisdictions, with returns subject to examination for varying periods, but generally back to and including the fiscal year ending April 3, 2021, although certain tax credits generated in earlier years are open under statute from March 31, 2007. The Company is no longer subject to U.S. federal tax examination by the Internal Revenue Service for years ending before April 3,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authorized to issue 10,000,000 shares of preferred stock, $0.01 par value per share,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our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2022, we completed an offering of 4,600,000 shares of MCPS in a public offering registered under the Securities Act of 1933. The trading symbol for the MCPS on the New York Stock Exchange is “RBCP.” The net proceeds from the offering were approximately $445.3, after deducting underwriting discounts and commissions and offering expenses, and were used to fund a portion of the purchase price for the acquisition of Dodge.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MCPS are entitled to receive, when, as and if declared by our Board of Directors, or an authorized committee thereof, out of funds legally available for payment, cumulative dividends at the annual rate of 5.00% of the liquidation preference of $100 per share, payable in cash or, subject to certain limitations, by delivery of shares of common stock or any combination of cash and shares of common stock, at our election; provided, however, that any unpaid dividends on the MCPS will continue to accumulate as described in the Certificate of Designations that sets forth the rights, preferences and privileges of the MCPS. The Company made dividend payments of $5.7 on April 17, 2023, $5.8 on July 17, 2023, $5.8 on October 16, 2023, and $5.7 on January 15, 2024. The Company also had accrued $4.8 as of March 30, 2024 for dividends that were paid on April 15, 2024.</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MCPS has a liquidation preference of $100 per share plus accrued and unpaid dividends. As of March 30, 2024, the MCPS had an aggregate liquidation preference of $464.8.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certain exceptions, no dividend or distribution will be declared or paid on shares of our common stock, and no common stock will be purchased, redeemed or otherwise acquired for consideration by us or any of our subsidiaries unless, in each case, all accumulated and unpaid dividends for all preceding dividend periods have been declared and paid, or a sufficient amount of cash or number of shares of common stock has been set apart for the payment of such dividends, on all outstanding shares of MCPS. In the event of our voluntary or involuntary liquidation, winding-up or dissolution, no distribution of our assets may be made to holders of our common stock until we have paid holders of MCPS, each of which will be entitled to receive a liquidation preference in the amount of $100 per share plus accumulated and unpaid dividends.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earlier converted or redeemed, each share of MCPS will automatically convert, for settlement on or about October 15, 2024, into between 0.4413 and 0.5405 shares of common stock, subject to customary anti-dilution adjustments. The conversion rate that will apply to mandatory conversions will be determined based on the average of the daily volume-weighted average prices over the 20 consecutive trading days beginning on, and including, the 21st scheduled trading day immediately before October 15, 2024. The conversion rate applicable to mandatory conversions may in certain circumstances be increased to compensate holders of the MCPS for certain unpaid accumulated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per share. Holders of common stock are entitled to one vote per share. Holders of common stock are entitled to receive dividends, if and when declared by our Board of Directors, and to share ratably in our assets legally available for distribution to our stockholders in the event of liquidation after giving effect to any liquidation preference for the benefit of the MCPS or any other preferred stock then outstanding. Holders of common stock have no preemptive, subscription, redemption, or conversion rights. The holders of common stock do not have cumulative voting rights. The holders of a majority of the shares of common stock can elect all of the directors and can control our management and affairs.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fiscal 2022 we completed an offering of 3,450,000 shares of common stock in a public offering registered under the Securities Act of 1933 at an offering price of $185 per share. The net proceeds from the offering were approximately $605.5, after deducting underwriting discounts and commissions and offering expenses, and were used to fund a portion of the purchase price for the acquisition of Dodge.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Incentive Plans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long-term equity incentive plans (the “Equity Plans”) provide for grants of stock options, stock appreciation rights, restricted stock and performance awards to directors, officers and other employees and persons who engage in services for the Company. The purpose of the Equity Plans is to provide these individuals with incentives to maximize stockholder value and otherwise contribute to the Company’s success and to enable the Company to attract, retain and reward the best available persons for positions of responsibility. 1,500,000 shares of common stock were authorized for issuance under each Equity Plan when it was adopted, subject to adjustment in the event of a reorganization, stock split, merger or similar change in the Company’s corporate structure or in the outstanding shares of common stock. The Company’s Compensation Committee administers the Equity Plans, although the Company’s Board of Directors also has the authority to administer the Equity Plans and to take all actions that the Compensation Committee is otherwise authorized to take under the Equity Plans. The terms and conditions of each award made under an Equity Plan, including vesting requirements, are set forth in a written agreement with the recipient that is consistent with the terms of the relevant Equity Plan. As of March 30, 2024 the Company’s long-term equity incentive plans were as follows: the 2013 Equity Plan, which expired in 2023 although stock options awarded under this plan are still outstanding; the 2017 Equity Plan, which expires in 2027; and the 2021 Equity Plan, which expires in 2031. As of March 30, 2024 there were 272,328 and 1,500,000 shares available for future awards under the 2017 and 2021 Equity plans,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Under the Equity Plans, the Compensation Committee or the Board may approve the award of non-qualified stock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also has the authority to approve the grant of options that will become fully vested and exercisable automatically upon a change in control. The Compensation Committee may not, however, approve an award to any one person (other than Dr. Michael J. Hartnett) in any calendar year for options to purchase common stock equal to more than 10% of the total number of shares authorized under the relevant Equity Plan. The Compensation Committee will approve the exercise price and term of any option in its discretion; however, the exercise price may not be less than 100% of the fair market value of a share of common stock on the date of grant. The Equity Plans also authorize the Compensation Committee to award incentive stock options conforming to the requirements of Section 422 of the Internal Revenue Code, but to date no such options have been awarded. As of March 30, 2024, there were 8,272 outstanding options under the 2013 Equity Plan, all of which were exercisable, 497,620 outstanding options under the 2017 Equity Plan, 233,440 of which were exercisable, and no outstanding option under the 2021 Equity Plan.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Under the Equity Plans, the Compensation Committee may approve the award of restricted stock subject to the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and for the duration that it determines in its discretion. Under each of the 2017 and 2021 Equity Plans, the number of shares that may be used for restricted stock awards may not exceed 50% of the total authorized number of shares under that Equity Plan. As of March 30, 2024, there were zero, 173,445 and zero shares of restricted stock outstanding under the 2013, 2017 and 2021 Equity Plans, respectively.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Compensation Committee may approve performance awards contingent upon achievement by the recipient,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of set goals and objectives regarding specified performance criteria, over a specified performance cycle. Awards may include specific dollar-value target awards, performance units the value of which is established at the time of grant, and/or performance shares the value of which is equal to the fair market value of a share of common stock on the date of grant. The value of a performance award may be fixed or fluctuate on the basis of specified performance criteria. A performance award may be paid out in cash and/or shares of common stock or other securities. Certain senior executive officers receive performance awards in the form of stock options, restricted stock and/or unrestricted stock.</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Compensation Committee may approve the grant of stock appreciation rights, or SARs,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contained in the Equity Plans. The exercise price of an SAR must equal the fair market value of a share of the Company’s common stock on the date the SAR is granted. Upon exercise of an SAR, the grantee will receive an amount in shares of our common stock equal to the difference between the fair market value of a share of common stock on the date of exercise and the exercise price of the SAR, multiplied by the number of shares as to which the SAR is exercised. There were no SARs issued or outstanding under the Plans as of March 30,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4" w:name="page65"/>
    <w:bookmarkEnd w:id="64"/>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of the Equity Plans. </w:t>
      </w:r>
      <w:r>
        <w:rPr>
          <w:rFonts w:ascii="Times New Roman" w:cs="Times New Roman" w:eastAsia="Times New Roman" w:hAnsi="Times New Roman"/>
          <w:sz w:val="18"/>
          <w:szCs w:val="18"/>
          <w:color w:val="auto"/>
        </w:rPr>
        <w:t>Except as otherwise provided in an award agreement, the Board of Directors, without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stockholders, may amend or terminate any Equity Plan, except that no amendment will become effective without prior approval of the stockholders of the Company if stockholder approval would be required by applicable law or regulations, including if required (i) under the provisions of Section 409A or any successor thereto, (ii) under the provisions of Section 422 of the Code or any successor thereto, or (iii) by any listing requirement of the principal stock exchange on which the common stock is then listed. Subject to the provisions of an award agreement, which may be more restrictive, no termination of an Equity Plan may materially and adversely affect any of the rights or obligations of any award recipient, without his or her written consent, under any award of options or other incentives previous granted under the relevant Equity Plan.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options outstanding as of March 30, 2024 and changes during the year then ended is presented below. All cashless exercises of options are handled through an independent broker.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April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623,635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54,820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(168,321)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136.46</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March 30,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505,892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171.38</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March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241,712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155.39</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for the Company’s options was estimated at the date of grant using the Black-Scholes option pricing model with the following weighted-average assumptions, which are updated to reflect current expectations of the dividend yield, expected life, risk-free interest rate and using historical volatility to project expected volatility: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11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6"/>
                <w:szCs w:val="16"/>
                <w:color w:val="auto"/>
              </w:rPr>
            </w:pPr>
          </w:p>
        </w:tc>
      </w:tr>
      <w:tr>
        <w:trPr>
          <w:trHeight w:val="245"/>
        </w:trPr>
        <w:tc>
          <w:tcPr>
            <w:tcW w:w="7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life (yrs.)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0.95%</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46.71%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fair value per share of options granted was $99.92 in fiscal 2024, $90.39 in fiscal 2023 and $76.65 in fiscal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$2.6 (net of taxes of $0.8) in compensation expense in fiscal 2024 related to option awards. As of March 30, 2024, there was $9.9 of unrecognized compensation costs related to options which is expected to be recognized over a weighted average period of 3.5 years. The total intrinsic value of options exercised in fiscal 2024, 2023 and 2022 was $22.9, $16.9 and $11.9,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Of the total awards outstanding at March 30, 2024, 503,132 were either fully vested or are expected to vest. These shares have a weighted average exercise price of $171.19, an intrinsic value of $49.9 and a weighted average contractual term of 3.6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outstanding as of March 30, 2024 and the changes during the year then ended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 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April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March 30,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fair value per share of restricted stock granted was $205.50 in fiscal 2024, $201.60 in fiscal 2023 and $198.04 in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$8.9 (net of taxes of $2.6) in compensation expense in fiscal 2024 related to restricted stock awards. These awards were valued at the fair market value of the Company’s common stock on the date of issuance and are being amortized as expense over the applicable vesting period. The total fair value of restricted stock awards that vested during fiscal 2024, 2023, and 2022 was $19.2, $21.2 and $22.1, respectively. Unrecognized expense for restricted stock was $18.9 at March 30, 2024. This cost is expected to be recognized over a weighted average period of approximately 2.6 years.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liability classified awards outstanding as of March 30, 2024 and the changes during the year then ended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April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liability as of March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$1.9 (net of taxes of $0.6) in stock-based compensation expense in fiscal 2024 related to liability awards. As of March 30, 2024, $2.0 and $0.5 was included in other noncurrent liabilities and other current liabilities, respectively. As of March 30, 2024 there was $9.2 of unrecognized compensation costs related to liability awards which is expected to be recognized over a weighted average period of 3.1 years. The total intrinsic value of liability classified awards vested in fiscal 2024, 2023 and 2022 was $0.0, $0.0 and $0.0,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30, 2024, approximately 5% of the Company’s hourly employees in the U.S. and abroad were represented by labor unions.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U.S. government contracts and subcontracts that are subject to audit by the U.S. government. In the opinion of the Company’s management, the results of such audits, if any, are not expected to have a material impact on the cash flows, financial condition or results of operations of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fiscal 2024, 2023 and 2022, there were no audits by the U.S. government, the results of which, in the opinion of the Company’s management, had a material impact on the cash flows, financial condition or results of operations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federal, state and local environmental laws and regulations, including those governing discharges of pollutants into the air and water, the storage, handling and disposal of wastes and the health and safety of employees. The Company also may be liable under the Comprehensive Environmental Response, Compensation, and Liability Act or similar state laws for the costs of investigation and cleanup of contamination at facilities currently or formerly owned or operated by the Company, or at other facilities at which the Company may have disposed of hazardous substances. In connection with such contamination, the Company may also be liable for natural resource damages, U.S. government penalties and claims by third parties for personal injury and property damage. Agencies responsible for enforcing these laws have authority to impose significant civil or criminal penalties for non-compliance. The Company believes it is currently in material compliance with all applicable requirements of environmental laws. The Company does not anticipate material capital expenditures for environmental compliance in fiscal years 2025 or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Investigation and remediation of contamination is ongoing at some of the Company’s sites. In particular, state agencies have been overseeing groundwater monitoring activities at the Company’s facility in Hartsville, South Carolina. At Hartsville, the Company is monitoring low levels of contaminants in the groundwater caused by former operations. Plans are currently underway to conclude remediation and monitoring activities. In connection with the purchase of the Fairfield, Connecticut facility in 1996, the Company agreed to assume responsibility for completing clean-up efforts previously initiated by the prior owner. The Company submitted data to the state that the Company believes demonstrates that no further remedial action is necessary, although the state may require additional clean-up or monitoring.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2022 and March 21, 2023, the Company received civil investigative demands from the United States Department of Justice pursuant to the False Claims Act, 31 U.S.C. § 3733 (the “FCA”). The investigation concerns allegations that the Company submitted false claims in connection with</w:t>
      </w:r>
    </w:p>
    <w:p>
      <w:pPr>
        <w:jc w:val="both"/>
        <w:ind w:firstLine="8"/>
        <w:spacing w:after="0" w:line="255" w:lineRule="auto"/>
        <w:tabs>
          <w:tab w:leader="none" w:pos="2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the Company’s employees were eligible for unemployment insurance benefits and pandemic relief and worked reduced hours and (ii) received grant proceeds in violation of the FCA. The Company is cooperating with the investigation. As the investigation is in its early stages, it is not possible to determine whether the investigation will have a material adverse effect, if any, on the Company.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Besides the matter described in the previous paragraph, from time to time we are involved in litigation that arises in the ordinary course of business, but we do not believe that any such litigation in which we are currently involved, either individually or in the aggregate, is likely to have a material adverse effect on our business, financial condition, operating results, cash flow or prospects.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$3.7 of outstanding standby letters of credit, all of which are under the Revolving Credit Facility. We also have a contractual obligation for licenses related to the implementation and upgrade of an ERP system. The remaining contractual obligation related to these ERP license costs of $7.6 will end in June of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net is comprised of the following:</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20" w:type="dxa"/>
            <w:vAlign w:val="bottom"/>
          </w:tcPr>
          <w:p>
            <w:pPr>
              <w:spacing w:after="0"/>
              <w:rPr>
                <w:sz w:val="16"/>
                <w:szCs w:val="16"/>
                <w:color w:val="auto"/>
              </w:rPr>
            </w:pPr>
          </w:p>
        </w:tc>
        <w:tc>
          <w:tcPr>
            <w:tcW w:w="10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r>
      <w:tr>
        <w:trPr>
          <w:trHeight w:val="279"/>
        </w:trPr>
        <w:tc>
          <w:tcPr>
            <w:tcW w:w="73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consolidation and restructuring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and transition services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Reportable Segments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through operating segments and reports its financial results based on how its chief operating decision maker makes operating decisions, assesses the performance of the business, and allocates resources. Our operating segments are our reportable segments. These reportable segments are Aerospace/Defense and Industrial and are described below.</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Aerospace/Defense. </w:t>
      </w:r>
      <w:r>
        <w:rPr>
          <w:rFonts w:ascii="Times New Roman" w:cs="Times New Roman" w:eastAsia="Times New Roman" w:hAnsi="Times New Roman"/>
          <w:sz w:val="18"/>
          <w:szCs w:val="18"/>
          <w:color w:val="auto"/>
        </w:rPr>
        <w:t>This segment represents the end markets for the Company’s highly engineered bearings and precision components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aerospace, defense aerospace, and sea and ground defense applications.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This segment represents the end markets for the Company’s highly engineered bearings and precision components used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 applications including: power transmission; construction, mining, energy and specialized equipment manufacturing; semiconductor production equipment manufacturing; agricultural machinery, commercial truck and automotive manufacturing; and tool holding.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Segment performance is evaluated based on segment net sales and gross margin. Items not allocated to segment operating income include corporate administrative expenses and certain other amounts. Where not separately disclosed, corporate costs are allocated to each segment. Identifiable assets by reportable segment consist of those directly identified with the segment’s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52"/>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9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4540" w:type="dxa"/>
            <w:vAlign w:val="bottom"/>
            <w:vMerge w:val="continue"/>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6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(92.1</w:t>
            </w:r>
          </w:p>
        </w:tc>
        <w:tc>
          <w:tcPr>
            <w:tcW w:w="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(76.2</w:t>
            </w: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3,845.7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Aerospace/Defense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Geographic External Sales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Long-Lived Assets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78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4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joint venture in North America focused on joint logistics and e-business services. This joint venture, CoLinx, LLC (“CoLinx”), includes five equity members: Timken, SKF Group, Schaeffler Group, Gates Industrial Corp. and the Company. The e-business service focuses on information and business services for authorized distributors in the Industrial segment. Total expenses for services provided by CoLinx for the fiscal years ended March 30, 2024, April 1, 2023 and April 2, 2022 were $18.5, $18.4 and $7.2, respectively, and were included within selling, general and administrative costs on the consolidated statements of operations. Amounts outstanding in respect of these transactions were payables of $0.7 and $1.8 as of March 30, 2024 and April 1, 2023, respectively, and were included within accounts payable on the consolidated balance sheets. No dividends were received from CoLinx during the periods presented. The Company does not have any other equity method investees. The Company does not have any other significant related-party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effective disclosure controls and procedures, as defined under Rule 13a-15(e) of the Securities Exchange Act of 1934. As of the end of the period covered by this report, the Company performed an evaluation, under the supervision and with the participation of the Company’s management, including its Chief Executive Officer and Chief Financial Officer, of the effectiveness of the Company’s disclosure controls and procedures. In making its assessment, management has utilized the criteria set forth by the Committee of Sponsoring Organizations (COSO) of the Treadway Commission in Internal Control — Integrated Framework (2013 Framework). Based upon that evaluation, the Company’s Chief Executive Officer and Chief Financial Officer concluded that the Company’s disclosure controls and procedures provide reasonable assurance that the material information required to be disclosed by the Company in the reports that it files or submits to the Securities and Exchange Commission under the Securities Exchange Act of 1934 is recorded, processed, summarized and reported within the time periods specified in the Commission’s rules and forms. The Company’s management believes that its disclosure controls and procedures were effective as of March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changes were made to the Company’s internal control over financial reporting (as defined in Rule 13a-15(f) under the Securities Exchange Act of 1934) during the last fiscal quarter that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of RBC Bearings Incorporated is responsible for establishing and maintaining adequate internal control over financial reporting, as such term is defined in Securities Exchange Act of 1934.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internal control over financial reporting is supported by written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3" w:lineRule="exact"/>
        <w:rPr>
          <w:sz w:val="20"/>
          <w:szCs w:val="20"/>
          <w:color w:val="auto"/>
        </w:rPr>
      </w:pPr>
    </w:p>
    <w:p>
      <w:pPr>
        <w:ind w:firstLine="8"/>
        <w:spacing w:after="0" w:line="26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the Company’s internal control over financial reporting as of March 30, 2024 as required by Securities Exchange Act of 1934. In making this assessment, we used the criteria set forth in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Based on our evaluation under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w:t>
      </w:r>
      <w:r>
        <w:rPr>
          <w:rFonts w:ascii="Times New Roman" w:cs="Times New Roman" w:eastAsia="Times New Roman" w:hAnsi="Times New Roman"/>
          <w:sz w:val="18"/>
          <w:szCs w:val="18"/>
          <w:color w:val="auto"/>
        </w:rPr>
        <w:t>, our management concluded that our internal control over financial reporting was effective as of March 30,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March 30, 2024 has been audited by Ernst &amp; Young LLP, an independent registered public accounting firm, as stated in their report which appears on the following page.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RBC Bearings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20" w:gutter="0" w:footer="0" w:header="0"/>
        </w:sectPr>
      </w:pPr>
    </w:p>
    <w:bookmarkStart w:id="69" w:name="page70"/>
    <w:bookmarkEnd w:id="6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RBC Bearings Incorporated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RBC Bearings Incorporated’s internal control over financial reporting as of March 30, 2024, based on criteria established in Internal Control—Integrated Framework issued by the Committee of Sponsoring Organizations of the Treadway Commission (2013 framework) (the COSO criteria). In our opinion, RBC Bearings Incorporated (the Company) maintained, in all material respects, effective internal control over financial reporting as of March 30, 2024,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30, 2024 and April 1, 2023, the related consolidated statements of operations, comprehensive income, stockholders’ equity and cash flows for each of the three years in the period ended March 30, 2024 and the related notes and our report dated May 17,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30, 2024 no director or officer of the Company adopted or terminated a Rule 10b5-1 trading plan or non-Rule 10b5-1 trading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Part III, Items 10, 11, 12, 13 and 14 of Form 10-K will be included in the Company’s Proxy Statement for its 2024 Annual Meeting of Shareholders, which the Company intends to file within 120 days after the close of its fiscal year ended March 30, 2024, and which is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972"/>
        <w:spacing w:after="0" w:line="282"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following Consolidated Financial Statements and Supplementary Data of the Company are included in Item 8, “Financial Statements and Supplementary Data” of this Annual Report on Form 10-K:</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March 30, 2024 and April 1, 2023;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fiscal years ended March 30, 2024, April 1, 2023 and April 2, 2022;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fiscal years ended March 30, 2024, April 1, 2023 and April 2, 2022;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fiscal years ended March 30, 2024, April 1, 2023 and April 2, 2022;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fiscal years ended March 30, 2024, April 1, 2023 and April 2, 2022;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Company’s Financial Statement Schedules, see Item 15(c) of this Annual Report on Form 10-K.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exhibits required by Regulation S-K, see Item 15(b) of this Annual Report on Form 10-K.</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filed as exhibits to this Annual Report on Form 10-K and indexed below immediately following Item 15(c), which index is incorporated herein by reference.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included in the Financial Statements and Supplementary Data under Item 15(a)(1) of this Annual Report on Form 10-K and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The exhibits that are indicated below as having been previously filed by RBC Bearings Incorporated with the SEC are incorporated herein by reference. Our Commission file number is 001-40840.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Certificate of Incorporation of RBC Bearings Incorporated dated August 13, 2005 (filed with Amendment No. 4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Registration Statement on Form S-1 dated August 8,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Bylaws of RBC Bearings Incorporated (filed as Exhibit 3.1 to Current Report on Form 8-K dated September 15,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2017).</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Description of Capital Stock (filed as Exhibit 4.1 to Annual Report on Form 10-K dated May 26, 2022).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stock certificate for common stock (filed as Exhibit 4.3 to Amendment No. 3 to Registration Statement on Form S-1 dated August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96">
              <w:r>
                <w:rPr>
                  <w:rFonts w:ascii="Times New Roman" w:cs="Times New Roman" w:eastAsia="Times New Roman" w:hAnsi="Times New Roman"/>
                  <w:sz w:val="18"/>
                  <w:szCs w:val="18"/>
                  <w:color w:val="0000EE"/>
                  <w:w w:val="96"/>
                </w:rPr>
                <w:t>4, 2005).</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Certificate of Designation for 5.00% Series A Mandatory Convertible Preferred Stock (filed as Exhibit 3.1 to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dated September 24,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stock certificate for 5.00% Series A Mandatory Convertible Preferred Stock (filed as Exhibit 4.1 to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dated September 24,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Indenture, dated as of October 7, 2021, by and among Roller Bearing Company of America, Inc. and Wilmington Trust, National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9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Association for 4.375% Senior Notes due 2029 (filed as Exhibit 4.1 to Current Report on Form 8-K dated October 7, 2021).</w:t>
              </w:r>
            </w:hyperlink>
          </w:p>
        </w:tc>
        <w:tc>
          <w:tcPr>
            <w:tcW w:w="11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gridSpan w:val="16"/>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4.375% Senior Notes due 2029 (filed as Exhibit 4.2 to Current Report on Form 8-K dated October 7,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and Restated Employment Agreement, dated as of June 3, 2022, between RBC Bearings Incorporated and Michael J. Hartnett,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78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Ph.D. (filed as Exhibit 10.1 to Current Report on Form 8-K dated June 9, 2022).</w:t>
              </w:r>
            </w:hyperlink>
          </w:p>
        </w:tc>
        <w:tc>
          <w:tcPr>
            <w:tcW w:w="432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No. 1, dated as of August 1, 2022, to Amended and Restated Employment Agreement, dated as of June 3, 2022, between RBC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Bearings Incorporated and Dr. Michael J. Hartnett (filed as Exhibit 10.1 to Current Report on Form 8-K dated August 4,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Employment Agreement, dated as of June 3, 2022, between RBC Bearings Incorporated and Daniel A. Bergeron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32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(filed as Exhibit 10.2 to Current Report on Form 8-K dated June 9, 2022).</w:t>
              </w:r>
            </w:hyperlink>
          </w:p>
        </w:tc>
        <w:tc>
          <w:tcPr>
            <w:tcW w:w="478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1, dated as of August 1, 2022, to Amended and Restated Employment Agreement, dated as of June 3, 2022, between RBC</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Bearings Incorporated and Daniel A. Bergeron (filed as Exhibit 10.2 to Current Report on Form 8-K dated August 4,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Change in Control Letter Agreement for Named Executive Officers (filed as Exhibit 10.1 to Quarterly Report on Form 10-Q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February 1, 2010).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RBC Bearings Incorporated Executive Officer Performance Based Compensation Plan (filed as Exhibit 10.1 to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dated July 27, 2017).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RBC Bearings Incorporated Amended and Restated 2013 Long Term Incentive Plan (filed as Exhibit 10.1 to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dated August 21, 2013).</w:t>
              </w:r>
            </w:hyperlink>
          </w:p>
        </w:tc>
        <w:tc>
          <w:tcPr>
            <w:tcW w:w="8360" w:type="dxa"/>
            <w:vAlign w:val="bottom"/>
            <w:tcBorders>
              <w:bottom w:val="single" w:sz="8" w:color="CCEEFF"/>
              <w:right w:val="single" w:sz="8" w:color="CCEEFF"/>
            </w:tcBorders>
            <w:gridSpan w:val="10"/>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RBC Bearings Incorporated 2017 Long-Term Equity Incentive Plan (filed as Exhibit 10.2 to Current Report on Form 8-K dated July 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2017).</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RBC Bearings Incorporated 2021 Long-Term Equity Incentive Plan (filed as Exhibit 10.1 to Current Report on Form 8-K dated September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10, 2021).</w:t>
              </w:r>
            </w:hyperlink>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300" w:type="dxa"/>
            <w:vAlign w:val="bottom"/>
            <w:tcBorders>
              <w:top w:val="single" w:sz="8" w:color="0000EE"/>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CCEEFF"/>
            </w:tcBorders>
            <w:shd w:val="clear" w:color="auto" w:fill="CCEEFF"/>
          </w:tcPr>
          <w:p>
            <w:pPr>
              <w:spacing w:after="0"/>
              <w:rPr>
                <w:sz w:val="18"/>
                <w:szCs w:val="18"/>
                <w:color w:val="auto"/>
              </w:rPr>
            </w:pPr>
          </w:p>
        </w:tc>
        <w:tc>
          <w:tcPr>
            <w:tcW w:w="460" w:type="dxa"/>
            <w:vAlign w:val="bottom"/>
            <w:tcBorders>
              <w:top w:val="single" w:sz="8" w:color="0000EE"/>
              <w:bottom w:val="single" w:sz="8" w:color="CCEEFF"/>
            </w:tcBorders>
            <w:shd w:val="clear" w:color="auto" w:fill="CCEEFF"/>
          </w:tcPr>
          <w:p>
            <w:pPr>
              <w:spacing w:after="0"/>
              <w:rPr>
                <w:sz w:val="18"/>
                <w:szCs w:val="18"/>
                <w:color w:val="auto"/>
              </w:rPr>
            </w:pPr>
          </w:p>
        </w:tc>
        <w:tc>
          <w:tcPr>
            <w:tcW w:w="1700" w:type="dxa"/>
            <w:vAlign w:val="bottom"/>
            <w:tcBorders>
              <w:top w:val="single" w:sz="8" w:color="0000EE"/>
              <w:bottom w:val="single" w:sz="8" w:color="CCEEFF"/>
            </w:tcBorders>
            <w:shd w:val="clear" w:color="auto" w:fill="CCEEFF"/>
          </w:tcPr>
          <w:p>
            <w:pPr>
              <w:spacing w:after="0"/>
              <w:rPr>
                <w:sz w:val="18"/>
                <w:szCs w:val="18"/>
                <w:color w:val="auto"/>
              </w:rPr>
            </w:pPr>
          </w:p>
        </w:tc>
        <w:tc>
          <w:tcPr>
            <w:tcW w:w="92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9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0"/>
          </w:tcPr>
          <w:p>
            <w:pPr>
              <w:ind w:left="4400"/>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10.10</w:t>
            </w:r>
          </w:p>
        </w:tc>
        <w:tc>
          <w:tcPr>
            <w:tcW w:w="10100" w:type="dxa"/>
            <w:vAlign w:val="bottom"/>
            <w:tcBorders>
              <w:bottom w:val="single" w:sz="8" w:color="0000EE"/>
              <w:right w:val="single" w:sz="8" w:color="CCEEFF"/>
            </w:tcBorders>
            <w:gridSpan w:val="7"/>
            <w:shd w:val="clear" w:color="auto" w:fill="CCEEFF"/>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Credit Agreement, dated November 1, 2021, by and among Roller Bearing Company of America, Inc. as Borrower, RBC Bearings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Wells Fargo Bank, National Association, as Administrative Agent, Collateral Agent, Swingline Lender, and Letter of Credit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Issuer, and various lenders signatory thereto (filed as Exhibit 10.1 to Current Report on Form 8-K dated November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3"/>
              </w:rPr>
              <w:t>10.11</w:t>
            </w:r>
          </w:p>
        </w:tc>
        <w:tc>
          <w:tcPr>
            <w:tcW w:w="1010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Guarantee, dated November 1, 2021, by and among RBC Bearings Incorporated and the subsidiary guarantors party thereto in favor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Wells Fargo Bank, National Association, as Collateral Agent (filed as Exhibit 10.2 to Current Report on Form 8-K dated November 2,</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2021).</w:t>
              </w:r>
            </w:hyperlink>
          </w:p>
        </w:tc>
        <w:tc>
          <w:tcPr>
            <w:tcW w:w="11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10.12</w:t>
            </w:r>
          </w:p>
        </w:tc>
        <w:tc>
          <w:tcPr>
            <w:tcW w:w="10100" w:type="dxa"/>
            <w:vAlign w:val="bottom"/>
            <w:tcBorders>
              <w:bottom w:val="single" w:sz="8" w:color="0000EE"/>
              <w:right w:val="single" w:sz="8" w:color="CCEEFF"/>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Security Agreement, dated November 1, 2021, by and between Roller Bearing Company of America, Inc., RBC Bearings Incorporated,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subsidiary grantors party thereto and Wells Fargo Bank, National Association, as Collateral Agent for its benefit and the benefit of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Secured Parties (filed as Exhibit 10.3 to Current Report on Form 8-K dated November 2,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1010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Pledge Agreement, dated November 1, 2021, by and between Roller Bearing Company of America, Inc., RBC Bearings Incorporated,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subsidiary pledgors party thereto and Wells Fargo Bank, National Association, as Collateral Agent for the benefit of the Secured Parties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(filed as Exhibit 10.4 to Current Report on Form 8-K dated November 2, 2021).</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10.14</w:t>
            </w:r>
          </w:p>
        </w:tc>
        <w:tc>
          <w:tcPr>
            <w:tcW w:w="10100" w:type="dxa"/>
            <w:vAlign w:val="bottom"/>
            <w:tcBorders>
              <w:bottom w:val="single" w:sz="8" w:color="0000EE"/>
              <w:right w:val="single" w:sz="8" w:color="CCEEFF"/>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Stock and Asset Purchase Agreement, dated as of July 24, 2021, by and between ABB Asea Brown Boveri Ltd. as Seller and RBC Bearings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Incorporated as Purchaser (filed as Exhibit 2.1 to Current Report on Form 8-K dated July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1010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First Amendment to Credit Agreement, dated as of December 5, 2022, by and among Roller Bearing Company of America, Inc., RBC</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Bearings Incorporated, Wells Fargo Bank, National Association, as administrative agent, and the lenders party thereto (filed as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01</w:t>
              </w:r>
              <w:r>
                <w:rPr>
                  <w:rFonts w:ascii="Times New Roman" w:cs="Times New Roman" w:eastAsia="Times New Roman" w:hAnsi="Times New Roman"/>
                  <w:sz w:val="18"/>
                  <w:szCs w:val="18"/>
                  <w:color w:val="0000EE"/>
                  <w:w w:val="99"/>
                </w:rPr>
                <w:t xml:space="preserve"> to Current Report on Form 8-K dated December 7, 2022).</w:t>
              </w:r>
            </w:hyperlink>
          </w:p>
        </w:tc>
        <w:tc>
          <w:tcPr>
            <w:tcW w:w="54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RBC Bearings Incorporated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Ernst &amp; Young LLP.</w:t>
      </w:r>
    </w:p>
    <w:tbl>
      <w:tblPr>
        <w:tblLayout w:type="fixed"/>
        <w:tblInd w:w="0" w:type="dxa"/>
        <w:tblCellMar>
          <w:top w:w="0" w:type="dxa"/>
          <w:left w:w="0" w:type="dxa"/>
          <w:bottom w:w="0" w:type="dxa"/>
          <w:right w:w="0" w:type="dxa"/>
        </w:tblCellMar>
      </w:tblPr>
      <w:tr>
        <w:trPr>
          <w:trHeight w:val="185"/>
        </w:trPr>
        <w:tc>
          <w:tcPr>
            <w:tcW w:w="1140" w:type="dxa"/>
            <w:vAlign w:val="bottom"/>
          </w:tcPr>
          <w:p>
            <w:pPr>
              <w:jc w:val="right"/>
              <w:ind w:right="730"/>
              <w:spacing w:after="0" w:line="184" w:lineRule="exact"/>
              <w:rPr>
                <w:sz w:val="20"/>
                <w:szCs w:val="20"/>
                <w:color w:val="auto"/>
              </w:rPr>
            </w:pPr>
            <w:r>
              <w:rPr>
                <w:rFonts w:ascii="Times New Roman" w:cs="Times New Roman" w:eastAsia="Times New Roman" w:hAnsi="Times New Roman"/>
                <w:sz w:val="18"/>
                <w:szCs w:val="18"/>
                <w:color w:val="auto"/>
                <w:w w:val="95"/>
              </w:rPr>
              <w:t>31.1</w:t>
            </w:r>
          </w:p>
        </w:tc>
        <w:tc>
          <w:tcPr>
            <w:tcW w:w="1010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31.2</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32.1</w:t>
            </w:r>
          </w:p>
        </w:tc>
        <w:tc>
          <w:tcPr>
            <w:tcW w:w="101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w w:val="95"/>
              </w:rPr>
              <w:t>32.2</w:t>
            </w:r>
          </w:p>
        </w:tc>
        <w:tc>
          <w:tcPr>
            <w:tcW w:w="10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r>
    </w:tbl>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RBC Bearings Incorporated Clawback Policy.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with the SEC and is not to be incorporated by reference into any of our filings under the Securities Act of 1933 or the Securities Exchange Act of 1934 (whether made before or after the date of this Annual Report on Form 10-K) irrespective of any general incorporation language contained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RBC B</w:t>
      </w:r>
      <w:r>
        <w:rPr>
          <w:rFonts w:ascii="Times New Roman" w:cs="Times New Roman" w:eastAsia="Times New Roman" w:hAnsi="Times New Roman"/>
          <w:sz w:val="12"/>
          <w:szCs w:val="12"/>
          <w:color w:val="auto"/>
        </w:rPr>
        <w:t>earings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ncorporated</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2"/>
          <w:szCs w:val="12"/>
          <w:color w:val="auto"/>
        </w:rPr>
        <w:t>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Michael J. Hartnett</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17, 2024</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20" w:type="dxa"/>
            <w:vAlign w:val="bottom"/>
          </w:tcPr>
          <w:p>
            <w:pPr>
              <w:spacing w:after="0"/>
              <w:rPr>
                <w:sz w:val="21"/>
                <w:szCs w:val="21"/>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2"/>
                <w:szCs w:val="12"/>
                <w:color w:val="auto"/>
              </w:rPr>
              <w:t>artnett</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J. Hartnett</w:t>
            </w:r>
          </w:p>
        </w:tc>
        <w:tc>
          <w:tcPr>
            <w:tcW w:w="24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 chairman)</w:t>
            </w: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ergeron</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A. Bergeron</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2"/>
                <w:szCs w:val="12"/>
                <w:color w:val="auto"/>
              </w:rPr>
              <w:t>ullivan</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M. Sullivan</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atthew</w:t>
            </w:r>
            <w:r>
              <w:rPr>
                <w:rFonts w:ascii="Times New Roman" w:cs="Times New Roman" w:eastAsia="Times New Roman" w:hAnsi="Times New Roman"/>
                <w:sz w:val="18"/>
                <w:szCs w:val="18"/>
                <w:color w:val="auto"/>
              </w:rPr>
              <w:t xml:space="preserve"> J. T</w:t>
            </w:r>
            <w:r>
              <w:rPr>
                <w:rFonts w:ascii="Times New Roman" w:cs="Times New Roman" w:eastAsia="Times New Roman" w:hAnsi="Times New Roman"/>
                <w:sz w:val="12"/>
                <w:szCs w:val="12"/>
                <w:color w:val="auto"/>
              </w:rPr>
              <w:t>ift</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J. Tift</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R. C</w:t>
            </w:r>
            <w:r>
              <w:rPr>
                <w:rFonts w:ascii="Times New Roman" w:cs="Times New Roman" w:eastAsia="Times New Roman" w:hAnsi="Times New Roman"/>
                <w:sz w:val="12"/>
                <w:szCs w:val="12"/>
                <w:color w:val="auto"/>
              </w:rPr>
              <w:t>rowell</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R. Crowell</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olores</w:t>
            </w:r>
            <w:r>
              <w:rPr>
                <w:rFonts w:ascii="Times New Roman" w:cs="Times New Roman" w:eastAsia="Times New Roman" w:hAnsi="Times New Roman"/>
                <w:sz w:val="18"/>
                <w:szCs w:val="18"/>
                <w:color w:val="auto"/>
              </w:rPr>
              <w:t xml:space="preserve"> J. E</w:t>
            </w:r>
            <w:r>
              <w:rPr>
                <w:rFonts w:ascii="Times New Roman" w:cs="Times New Roman" w:eastAsia="Times New Roman" w:hAnsi="Times New Roman"/>
                <w:sz w:val="12"/>
                <w:szCs w:val="12"/>
                <w:color w:val="auto"/>
              </w:rPr>
              <w:t>nnico</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Dolores J. Ennico</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dward</w:t>
            </w:r>
            <w:r>
              <w:rPr>
                <w:rFonts w:ascii="Times New Roman" w:cs="Times New Roman" w:eastAsia="Times New Roman" w:hAnsi="Times New Roman"/>
                <w:sz w:val="18"/>
                <w:szCs w:val="18"/>
                <w:color w:val="auto"/>
              </w:rPr>
              <w:t xml:space="preserve"> D. S</w:t>
            </w:r>
            <w:r>
              <w:rPr>
                <w:rFonts w:ascii="Times New Roman" w:cs="Times New Roman" w:eastAsia="Times New Roman" w:hAnsi="Times New Roman"/>
                <w:sz w:val="12"/>
                <w:szCs w:val="12"/>
                <w:color w:val="auto"/>
              </w:rPr>
              <w:t>tewart</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D. Stewart</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teven</w:t>
            </w:r>
            <w:r>
              <w:rPr>
                <w:rFonts w:ascii="Times New Roman" w:cs="Times New Roman" w:eastAsia="Times New Roman" w:hAnsi="Times New Roman"/>
                <w:sz w:val="18"/>
                <w:szCs w:val="18"/>
                <w:color w:val="auto"/>
              </w:rPr>
              <w:t xml:space="preserve"> H. K</w:t>
            </w:r>
            <w:r>
              <w:rPr>
                <w:rFonts w:ascii="Times New Roman" w:cs="Times New Roman" w:eastAsia="Times New Roman" w:hAnsi="Times New Roman"/>
                <w:sz w:val="12"/>
                <w:szCs w:val="12"/>
                <w:color w:val="auto"/>
              </w:rPr>
              <w:t>aplan</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Steven H. Kaplan</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H. A</w:t>
            </w:r>
            <w:r>
              <w:rPr>
                <w:rFonts w:ascii="Times New Roman" w:cs="Times New Roman" w:eastAsia="Times New Roman" w:hAnsi="Times New Roman"/>
                <w:sz w:val="12"/>
                <w:szCs w:val="12"/>
                <w:color w:val="auto"/>
              </w:rPr>
              <w:t>mbrose</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H. Ambrose</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mir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aghri</w:t>
            </w:r>
          </w:p>
        </w:tc>
        <w:tc>
          <w:tcPr>
            <w:tcW w:w="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4"/>
                <w:szCs w:val="24"/>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Amir Faghri</w:t>
            </w: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2024</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3410"/>
              <w:spacing w:after="0"/>
              <w:rPr>
                <w:sz w:val="20"/>
                <w:szCs w:val="20"/>
                <w:color w:val="auto"/>
              </w:rPr>
            </w:pPr>
            <w:r>
              <w:rPr>
                <w:rFonts w:ascii="Times New Roman" w:cs="Times New Roman" w:eastAsia="Times New Roman" w:hAnsi="Times New Roman"/>
                <w:sz w:val="18"/>
                <w:szCs w:val="18"/>
                <w:color w:val="auto"/>
              </w:rPr>
              <w:t>73</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to govern the trading of the stock of RBC Bearings Incorporated (“</w:t>
      </w:r>
      <w:r>
        <w:rPr>
          <w:rFonts w:ascii="Times New Roman" w:cs="Times New Roman" w:eastAsia="Times New Roman" w:hAnsi="Times New Roman"/>
          <w:sz w:val="18"/>
          <w:szCs w:val="18"/>
          <w:u w:val="single" w:color="auto"/>
          <w:color w:val="auto"/>
        </w:rPr>
        <w:t>RBC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other companies by RBC’s managers and above and other "insiders" to avoid violation of federal securities laws. </w:t>
      </w:r>
      <w:r>
        <w:rPr>
          <w:rFonts w:ascii="Times New Roman" w:cs="Times New Roman" w:eastAsia="Times New Roman" w:hAnsi="Times New Roman"/>
          <w:sz w:val="18"/>
          <w:szCs w:val="18"/>
          <w:b w:val="1"/>
          <w:bCs w:val="1"/>
          <w:i w:val="1"/>
          <w:iCs w:val="1"/>
          <w:color w:val="auto"/>
        </w:rPr>
        <w:t>Any transactions in the securities of RBC must strictly comply with this policy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Procedures set forth in Section IV below.</w:t>
      </w:r>
    </w:p>
    <w:p>
      <w:pPr>
        <w:spacing w:after="0" w:line="17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SCOPE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 officers and directors of RBC or its subsidiaries, (b) employees of RBC or its subsidiaries who are awarded stock options or restricted stock under the Company’s equity incentive plan, and (c) designated persons of RBC (each of the foregoing being a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xml:space="preserve">"). Listing of all Subject Persons is included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This policy also applies to family members, other members of a Subject Person’s household, and entities controlled by a Subject Person.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as the “</w:t>
      </w:r>
      <w:r>
        <w:rPr>
          <w:rFonts w:ascii="Times New Roman" w:cs="Times New Roman" w:eastAsia="Times New Roman" w:hAnsi="Times New Roman"/>
          <w:sz w:val="18"/>
          <w:szCs w:val="18"/>
          <w:u w:val="single" w:color="auto"/>
          <w:color w:val="auto"/>
        </w:rPr>
        <w:t>Company’s securities</w:t>
      </w:r>
      <w:r>
        <w:rPr>
          <w:rFonts w:ascii="Times New Roman" w:cs="Times New Roman" w:eastAsia="Times New Roman" w:hAnsi="Times New Roman"/>
          <w:sz w:val="18"/>
          <w:szCs w:val="18"/>
          <w:color w:val="auto"/>
        </w:rPr>
        <w:t>”), including the Company’s common stock, its preferred stock, or any other types of securities that the Company may issue in the future, including derivative securities that are not issued by the Company, such as exchange-traded put or call options or swaps relating to the Company’s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Transactions subject to this policy include purchases, sales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of the Company’s securities.</w:t>
      </w:r>
    </w:p>
    <w:p>
      <w:pPr>
        <w:spacing w:after="0" w:line="22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PROHIBITION OF INSIDER TRADING AND TIPPING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a violation of the federal securities laws and Company policy for any person to buy or sell any of the Company’s securities if that person is in possession of material, non-public information.</w:t>
      </w:r>
    </w:p>
    <w:p>
      <w:pPr>
        <w:spacing w:after="0" w:line="162" w:lineRule="exact"/>
        <w:rPr>
          <w:sz w:val="20"/>
          <w:szCs w:val="20"/>
          <w:color w:val="auto"/>
        </w:rPr>
      </w:pPr>
    </w:p>
    <w:p>
      <w:pPr>
        <w:jc w:val="both"/>
        <w:ind w:left="660" w:hanging="328"/>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is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if it could reasonably affect a reasonable person’s investment decision whether to buy, sell or hold the stock. Although it is not possible to list all types of information that might be deemed material under particular circumstances, information concerning the following subjects is often found material: (i) internal forecasts or budgets; (ii) significant acquisitions or dispositions (including mergers, tender offers and asset purchase or sale transactions); (iii) major product changes or introductions; (iv) special dividends or changes in dividend policy; (v) new plant openings or closings or realignments; (vi) significant write-downs of assets or additions to reserves for bad debts or contingent liabilities;</w:t>
      </w:r>
    </w:p>
    <w:p>
      <w:pPr>
        <w:spacing w:after="0" w:line="3"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10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extraordinary management developments; (xiii) significant financing transactions; (ix) significant changes in the market price of raw materials or other supplies; (x) significant disputes with our suppliers or customers; (xi) labor negotiations; or (xii) significant litigation or investigations by governmental bodies. Information about a company generally is not material if its public dissemination would not have any impact on the price of the Company’s publicly traded securities. </w:t>
      </w:r>
      <w:r>
        <w:rPr>
          <w:rFonts w:ascii="Times New Roman" w:cs="Times New Roman" w:eastAsia="Times New Roman" w:hAnsi="Times New Roman"/>
          <w:sz w:val="18"/>
          <w:szCs w:val="18"/>
          <w:b w:val="1"/>
          <w:bCs w:val="1"/>
          <w:i w:val="1"/>
          <w:iCs w:val="1"/>
          <w:color w:val="auto"/>
        </w:rPr>
        <w:t>It should be noted that either positive or adverse information may be material.</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w:t>
      </w:r>
      <w:r>
        <w:rPr>
          <w:rFonts w:ascii="Times New Roman" w:cs="Times New Roman" w:eastAsia="Times New Roman" w:hAnsi="Times New Roman"/>
          <w:sz w:val="18"/>
          <w:szCs w:val="18"/>
          <w:u w:val="single" w:color="auto"/>
          <w:color w:val="auto"/>
        </w:rPr>
        <w:t>non-public</w:t>
      </w:r>
      <w:r>
        <w:rPr>
          <w:rFonts w:ascii="Times New Roman" w:cs="Times New Roman" w:eastAsia="Times New Roman" w:hAnsi="Times New Roman"/>
          <w:sz w:val="18"/>
          <w:szCs w:val="18"/>
          <w:color w:val="auto"/>
        </w:rPr>
        <w:t xml:space="preserve"> if it has not been disclosed to the public and, even after disclosure has been made, until a reasonable time has passed after it has been disclosed by means likely to result in widespread public awareness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 filings, press releases or publicly accessible conference calls).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Furthermore, it is illegal for any person in possession of material, non-public information to provide another person with such information or to recommend that the other person buy or sell any of the Company’s securities. In that case, both the “tippee” and the “tipper” may be liable. It also violates Company policy for any person to use such non-public information for personal benefit or to improperly disclose it to others outside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prohibitions also apply to material, non-public information about any other company that has been obtained in the course of a person’s work for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While all employees should be aware of the federal securities laws and Company policies related to insider trading and tipping, the Company may designate certain employees from time to time because of their position, responsibilities, or their actual or potential access to material information as Subject Persons. The listing of all Subject Persons is included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To avoid violating federal law that prohibits "insider trading" Subject Persons must not purchase or sell securities of RBC or of any other issuer of a security at a time when the Subject Person is aware of any material, non-public information about RBC or such other issuer, regardless of how that information was obtained. The Subject Person also must not permit any member of their family who they reside with (including a spouse, a child, a child away at college, stepchildren, grandchildren, parents, stepparents, grandparents, siblings and in-laws), anyone else who lives in the Subject Person’s household, any family members who do not live in the Subject Person’s household but whose transactions in the Company’s securities are directed by the Subject Person or are subject to the Subject Person’s influence or control, such as family members who consult with the Subject Person before they trade in the Company’s securities, or anyone acting on the Subject Person’s behalf, or anyone to whom the Subject Person has disclosed the information, to purchase or sell such securities. Such restrictions also apply to any legal entities that the Subject Person influences or controls, including any corporations, partnerships or trusts, and transactions by such controlled entities should be treated for the purposes of this policy and applicable securities laws as if they were for the Subject Person’s own account.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prohibitions against trading while in possession of material, non-public information (or using such information for personal benefit) also applies to material, non-public information about any other company that has been obtained in the course of a person’s work for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your transactions in Company securities even after you have terminated employment or other services to the Company or a subsidiary. If you are aware of material, non-public information when your employment or service relationship terminates, you may not trade in Company securities until that information becomes public or is no longer material.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information has been publicly disclosed through appropriate channels, a reasonable time should be allowed to elapse (at least two business days) before trading in the security, to allow for public dissemination and evaluation of the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b w:val="1"/>
          <w:bCs w:val="1"/>
          <w:u w:val="single" w:color="auto"/>
          <w:color w:val="auto"/>
        </w:rPr>
        <w:t>PROCEDURES</w:t>
      </w:r>
    </w:p>
    <w:p>
      <w:pPr>
        <w:spacing w:after="0" w:line="227" w:lineRule="exact"/>
        <w:rPr>
          <w:sz w:val="20"/>
          <w:szCs w:val="20"/>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SUBJECT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manager at each location where there are Subject Persons must ensure that all Subject Persons at that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aware of this policy.</w:t>
      </w:r>
    </w:p>
    <w:p>
      <w:pPr>
        <w:spacing w:after="0" w:line="160"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long as any Subject Person has material, non-public information relating to RBC or any other entity (e.g., a corporation or a partnership) (including any of RBC's customers or suppliers), the Subject Person may not buy or sell the securities of RBC or that entity. Equally important, the information may not be passed along to others.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Persons must not purchase or sell securities of RBC, </w:t>
      </w:r>
      <w:r>
        <w:rPr>
          <w:rFonts w:ascii="Times New Roman" w:cs="Times New Roman" w:eastAsia="Times New Roman" w:hAnsi="Times New Roman"/>
          <w:sz w:val="18"/>
          <w:szCs w:val="18"/>
          <w:b w:val="1"/>
          <w:bCs w:val="1"/>
          <w:color w:val="auto"/>
        </w:rPr>
        <w:t>whether or not the Subject Person possesses specific material, non-public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information about RBC, </w:t>
      </w:r>
      <w:r>
        <w:rPr>
          <w:rFonts w:ascii="Times New Roman" w:cs="Times New Roman" w:eastAsia="Times New Roman" w:hAnsi="Times New Roman"/>
          <w:sz w:val="18"/>
          <w:szCs w:val="18"/>
          <w:color w:val="auto"/>
        </w:rPr>
        <w:t>unless</w:t>
      </w:r>
    </w:p>
    <w:p>
      <w:pPr>
        <w:spacing w:after="0" w:line="158"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Subject Person has first signed and delivered a Trading Certification (see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RBC's Senior Corporate Counsel, General Counsel or CFO, and</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Trading Certification has been approved by RBC's Senior Corporate Counsel, General Counsel or CFO (in the case of purchases or sales by the CFO, General Counsel or Senior Corporate Counsel, the Trading Certification must be approved by one of the other two).</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Persons must not purchase or sell securities of any entity known or believed to be one of RBC's significant customers or suppliers, whether or not the Subject Person possesses specific material, non-public information about such entity, unless</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Subject Person has first signed and delivered a Trading Certification (see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RBC's Senior Corporate Counsel, General Counsel or CFO, and</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line="282" w:lineRule="auto"/>
        <w:tabs>
          <w:tab w:leader="none" w:pos="130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Trading Certification has been approved by RBC's Senior Corporate Counsel, General Counsel or CFO (in the case of purchases or sales by the CFO, General Counsel or Senior Corporate Counsel, the Trading Certification must be approved by one of the other two).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648"/>
        <w:spacing w:after="0" w:line="282" w:lineRule="auto"/>
        <w:rPr>
          <w:sz w:val="20"/>
          <w:szCs w:val="20"/>
          <w:color w:val="auto"/>
        </w:rPr>
      </w:pPr>
      <w:r>
        <w:rPr>
          <w:rFonts w:ascii="Times New Roman" w:cs="Times New Roman" w:eastAsia="Times New Roman" w:hAnsi="Times New Roman"/>
          <w:sz w:val="18"/>
          <w:szCs w:val="18"/>
          <w:color w:val="auto"/>
        </w:rPr>
        <w:t>An entity would be a significant customer or supplier of RBC if its business with RBC constitutes either a material or important portion of RBC’S business or a material or important portion of the business of the entity.</w:t>
      </w:r>
    </w:p>
    <w:p>
      <w:pPr>
        <w:spacing w:after="0" w:line="162" w:lineRule="exact"/>
        <w:rPr>
          <w:sz w:val="20"/>
          <w:szCs w:val="20"/>
          <w:color w:val="auto"/>
        </w:rPr>
      </w:pPr>
    </w:p>
    <w:p>
      <w:pPr>
        <w:ind w:left="648" w:hanging="324"/>
        <w:spacing w:after="0" w:line="282" w:lineRule="auto"/>
        <w:tabs>
          <w:tab w:leader="none" w:pos="6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Persons must not adopt or amend a securities trading plan pursuant to Rule l0b5-1 under the Securities Exchange Act of 1934 with respect to the securities of RBC unless</w:t>
      </w:r>
    </w:p>
    <w:p>
      <w:pPr>
        <w:spacing w:after="0" w:line="161" w:lineRule="exact"/>
        <w:rPr>
          <w:rFonts w:ascii="Times New Roman" w:cs="Times New Roman" w:eastAsia="Times New Roman" w:hAnsi="Times New Roman"/>
          <w:sz w:val="18"/>
          <w:szCs w:val="18"/>
          <w:b w:val="1"/>
          <w:bCs w:val="1"/>
          <w:color w:val="auto"/>
        </w:rPr>
      </w:pPr>
    </w:p>
    <w:p>
      <w:pPr>
        <w:ind w:left="968" w:hanging="320"/>
        <w:spacing w:after="0" w:line="282" w:lineRule="auto"/>
        <w:tabs>
          <w:tab w:leader="none" w:pos="96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Rule 10b-1 plan or plan amendment is entered into, the Subject Person is not aware of material nonpublic information regarding RBC or any of the Company’s securities,</w:t>
      </w:r>
    </w:p>
    <w:p>
      <w:pPr>
        <w:spacing w:after="0" w:line="161" w:lineRule="exact"/>
        <w:rPr>
          <w:rFonts w:ascii="Times New Roman" w:cs="Times New Roman" w:eastAsia="Times New Roman" w:hAnsi="Times New Roman"/>
          <w:sz w:val="18"/>
          <w:szCs w:val="18"/>
          <w:b w:val="1"/>
          <w:bCs w:val="1"/>
          <w:color w:val="auto"/>
        </w:rPr>
      </w:pPr>
    </w:p>
    <w:p>
      <w:pPr>
        <w:ind w:left="968" w:hanging="320"/>
        <w:spacing w:after="0" w:line="282" w:lineRule="auto"/>
        <w:tabs>
          <w:tab w:leader="none" w:pos="96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Subject Person has first signed and delivered a Trading Certification (see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the Rule 10b-1 plan or plan amendment to RBC’s Senior Corporate Counsel, General Counsel or CFO, and</w:t>
      </w:r>
    </w:p>
    <w:p>
      <w:pPr>
        <w:spacing w:after="0" w:line="161" w:lineRule="exact"/>
        <w:rPr>
          <w:rFonts w:ascii="Times New Roman" w:cs="Times New Roman" w:eastAsia="Times New Roman" w:hAnsi="Times New Roman"/>
          <w:sz w:val="18"/>
          <w:szCs w:val="18"/>
          <w:b w:val="1"/>
          <w:bCs w:val="1"/>
          <w:color w:val="auto"/>
        </w:rPr>
      </w:pPr>
    </w:p>
    <w:p>
      <w:pPr>
        <w:jc w:val="both"/>
        <w:ind w:left="968" w:hanging="320"/>
        <w:spacing w:after="0" w:line="266" w:lineRule="auto"/>
        <w:tabs>
          <w:tab w:leader="none" w:pos="96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Trading Certification and plan or plan amendment has been approved by, RBC's Senior Corporate Counsel, General Counsel or CFO (in the case of the adoption or amendment of a Rule l0b5-1 plan by the CFO, General Counsel or Senior Corporate Counsel, the Trading Certification and plan or plan amendment must be submitted to, and approved by, one of the other two).</w:t>
      </w:r>
    </w:p>
    <w:p>
      <w:pPr>
        <w:spacing w:after="0" w:line="175" w:lineRule="exact"/>
        <w:rPr>
          <w:rFonts w:ascii="Times New Roman" w:cs="Times New Roman" w:eastAsia="Times New Roman" w:hAnsi="Times New Roman"/>
          <w:sz w:val="18"/>
          <w:szCs w:val="18"/>
          <w:b w:val="1"/>
          <w:bCs w:val="1"/>
          <w:color w:val="auto"/>
        </w:rPr>
      </w:pPr>
    </w:p>
    <w:p>
      <w:pPr>
        <w:jc w:val="both"/>
        <w:ind w:left="648" w:hanging="324"/>
        <w:spacing w:after="0" w:line="261" w:lineRule="auto"/>
        <w:tabs>
          <w:tab w:leader="none" w:pos="6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Subject Person may buy or sell RBC securities, or adopt or amend a Rule I0b5-1 trading plan, at any time during the "blackout" period beginning on the last day of RBC’s fiscal quarter and ending at the start of the third (3rd) business day after the public release of RBC’s financial results for such quarter. This restriction applies </w:t>
      </w:r>
      <w:r>
        <w:rPr>
          <w:rFonts w:ascii="Times New Roman" w:cs="Times New Roman" w:eastAsia="Times New Roman" w:hAnsi="Times New Roman"/>
          <w:sz w:val="18"/>
          <w:szCs w:val="18"/>
          <w:b w:val="1"/>
          <w:bCs w:val="1"/>
          <w:color w:val="auto"/>
        </w:rPr>
        <w:t>whether or not the Subject Person possesses specific material, non-public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RBC's General Counsel or CFO may impose trading "blackouts" at other times as they deem appropriate.</w:t>
      </w:r>
    </w:p>
    <w:p>
      <w:pPr>
        <w:spacing w:after="0" w:line="179" w:lineRule="exact"/>
        <w:rPr>
          <w:rFonts w:ascii="Times New Roman" w:cs="Times New Roman" w:eastAsia="Times New Roman" w:hAnsi="Times New Roman"/>
          <w:sz w:val="18"/>
          <w:szCs w:val="18"/>
          <w:b w:val="1"/>
          <w:bCs w:val="1"/>
          <w:color w:val="auto"/>
        </w:rPr>
      </w:pPr>
    </w:p>
    <w:p>
      <w:pPr>
        <w:ind w:left="648" w:hanging="324"/>
        <w:spacing w:after="0"/>
        <w:tabs>
          <w:tab w:leader="none" w:pos="6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Paragraph E, a Subject Person may buy or sell RBC securities during a trading blackout period when the transaction is</w:t>
      </w:r>
    </w:p>
    <w:p>
      <w:pPr>
        <w:spacing w:after="0" w:line="225" w:lineRule="exact"/>
        <w:rPr>
          <w:rFonts w:ascii="Times New Roman" w:cs="Times New Roman" w:eastAsia="Times New Roman" w:hAnsi="Times New Roman"/>
          <w:sz w:val="18"/>
          <w:szCs w:val="18"/>
          <w:b w:val="1"/>
          <w:bCs w:val="1"/>
          <w:color w:val="auto"/>
        </w:rPr>
      </w:pPr>
    </w:p>
    <w:p>
      <w:pPr>
        <w:ind w:left="968" w:right="20" w:hanging="320"/>
        <w:spacing w:after="0" w:line="282" w:lineRule="auto"/>
        <w:tabs>
          <w:tab w:leader="none" w:pos="96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made pursuant to, and strictly in accordance with the terms of, an effective Rule I0b5-1 trading plan previously approved pursuant to Paragraph IV.1.D, subject to the requirement in Paragraph IV.1.G, and</w:t>
      </w:r>
    </w:p>
    <w:p>
      <w:pPr>
        <w:spacing w:after="0" w:line="161" w:lineRule="exact"/>
        <w:rPr>
          <w:rFonts w:ascii="Times New Roman" w:cs="Times New Roman" w:eastAsia="Times New Roman" w:hAnsi="Times New Roman"/>
          <w:sz w:val="18"/>
          <w:szCs w:val="18"/>
          <w:b w:val="1"/>
          <w:bCs w:val="1"/>
          <w:color w:val="auto"/>
        </w:rPr>
      </w:pPr>
    </w:p>
    <w:p>
      <w:pPr>
        <w:ind w:left="968" w:hanging="320"/>
        <w:spacing w:after="0"/>
        <w:tabs>
          <w:tab w:leader="none" w:pos="968"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compliance with all applicable securities laws.</w:t>
      </w:r>
    </w:p>
    <w:p>
      <w:pPr>
        <w:spacing w:after="0" w:line="225" w:lineRule="exact"/>
        <w:rPr>
          <w:rFonts w:ascii="Times New Roman" w:cs="Times New Roman" w:eastAsia="Times New Roman" w:hAnsi="Times New Roman"/>
          <w:sz w:val="18"/>
          <w:szCs w:val="18"/>
          <w:b w:val="1"/>
          <w:bCs w:val="1"/>
          <w:color w:val="auto"/>
        </w:rPr>
      </w:pPr>
    </w:p>
    <w:p>
      <w:pPr>
        <w:ind w:left="648" w:right="20" w:hanging="324"/>
        <w:spacing w:after="0" w:line="282" w:lineRule="auto"/>
        <w:tabs>
          <w:tab w:leader="none" w:pos="6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RBC will have the right at any time and in any manner to publicly disclose (or to require the Subject Person to disclose) the existence of any Rule l0b5-1 trading plan and the contents thereof in such manner as RBC considers appropriate.</w:t>
      </w:r>
    </w:p>
    <w:p>
      <w:pPr>
        <w:spacing w:after="0" w:line="158" w:lineRule="exact"/>
        <w:rPr>
          <w:sz w:val="20"/>
          <w:szCs w:val="20"/>
          <w:color w:val="auto"/>
        </w:rPr>
      </w:pPr>
    </w:p>
    <w:p>
      <w:pPr>
        <w:ind w:left="328" w:right="20" w:hanging="323"/>
        <w:spacing w:after="0" w:line="284" w:lineRule="auto"/>
        <w:tabs>
          <w:tab w:leader="none" w:pos="308" w:val="left"/>
        </w:tabs>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u w:val="single" w:color="auto"/>
          <w:color w:val="auto"/>
        </w:rPr>
        <w:t>OFFICERS AND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Officers and Directors must file any required beneficial ownership forms in compliance with applicable securities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 xml:space="preserve">laws. A summary of such requirements is set forth on attached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328" w:hanging="328"/>
        <w:spacing w:after="0" w:line="258" w:lineRule="auto"/>
        <w:tabs>
          <w:tab w:leader="none" w:pos="32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exercising stock options, the person must fill out the RBC Option Exercise Form (available from RBC’s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Counsel), identifying (a) the grant date of the options, (b) the number of options to be exercised, and (c) the option exercise price, and then submit the form to RBC’s Senior Corporate Counsel, General Counsel or CFO for approval. If the option exercise will be “cashless” (i.e., the option shares will be immediately sold to generate proceeds to pay the option exercise price and applicable withholding), then the person also must comply with the Trading Certification process set forth in Paragraph IV.1.B.</w:t>
      </w:r>
    </w:p>
    <w:p>
      <w:pPr>
        <w:spacing w:after="0" w:line="183"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Rule 10b5-1 Plans:</w:t>
      </w:r>
    </w:p>
    <w:p>
      <w:pPr>
        <w:spacing w:after="0" w:line="227" w:lineRule="exact"/>
        <w:rPr>
          <w:rFonts w:ascii="Times New Roman" w:cs="Times New Roman" w:eastAsia="Times New Roman" w:hAnsi="Times New Roman"/>
          <w:sz w:val="18"/>
          <w:szCs w:val="18"/>
          <w:b w:val="1"/>
          <w:bCs w:val="1"/>
          <w:color w:val="auto"/>
        </w:rPr>
      </w:pPr>
    </w:p>
    <w:p>
      <w:pPr>
        <w:jc w:val="both"/>
        <w:ind w:left="648" w:hanging="324"/>
        <w:spacing w:after="0" w:line="266" w:lineRule="auto"/>
        <w:tabs>
          <w:tab w:leader="none" w:pos="64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 Rule 10b5-1 trading plan is adopted by a Subject Person, such Subject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9" w:name="page80"/>
    <w:bookmarkEnd w:id="79"/>
    <w:p>
      <w:pPr>
        <w:jc w:val="both"/>
        <w:ind w:left="980" w:hanging="324"/>
        <w:spacing w:after="0" w:line="258" w:lineRule="auto"/>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 Rule 10b5-1 trading plan is adopted or modified, it is subject to a “cooling-off” period before execution of the first trade thereunder. The “cooling-off” period for directors and officers subject to Section 16 of the Exchange Act ends on the later of: (a) 90 days following the Rule 10b5-1 Plan adoption or modification or (b) two business days following the disclosure in Form 10-Q or Form 10-K of the Company’s financial results for the fiscal quarter in which the Rule 10b5-1 Plan was adopted or modified (however, the cooling-off period will not exceed 120 days following plan adoption or modification). For all other individuals, a 30 day cooling-off period is required.</w:t>
      </w:r>
    </w:p>
    <w:p>
      <w:pPr>
        <w:spacing w:after="0" w:line="183"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(a) they are not aware of any material nonpublic information; and (b) they are adopting the Rule 10b5-1 Plan in good faith and not as part of a plan or scheme to evade the prohibitions in Rule 10b-5.</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persons entering into a Rule 10b5-1 plan must act in good faith with respect to that plan.</w:t>
      </w:r>
    </w:p>
    <w:p>
      <w:pPr>
        <w:spacing w:after="0" w:line="22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b w:val="1"/>
          <w:bCs w:val="1"/>
          <w:u w:val="single" w:color="auto"/>
          <w:color w:val="auto"/>
        </w:rPr>
        <w:t>APPROVALS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Approval by RBC’s Senior Corporate Counsel, General Counsel or CFO of a purchase or sale of securities or of the adoption or amendment of a Rule I0b5-1 trading plan is limited to determining whether the matter is in accordance with certain securities regulations, but does not constitute assurance that the matter is in accordance with all applicable laws. The Subject Person is ultimately responsible for complying with all applicable laws when trading securities and neither RBC nor its Senior Corporate Counsel, General Counsel or CFO will have any responsibility to the Subject Person or any other person or entity in connection with such trades.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modification (other than a nonsubstantive modification such as a change in contact information), repeal or replacement of this policy must be approved by the RBC Board of Directors.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inquiries, including inquiries as to whether an entity is a significant customer or supplier of RBC, should be directed to RBC’s Senior Corporate Counsel, General Counsel or CFO.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Whenever seeking information or approval of a Trading Certification or RBC Option Exercise Form, Subject Persons should first contact the Senior Corporate Counsel, then the General Counsel if the Senior Corporate Counsel is unavailable, and then the CFO if both the Senior Corporate Counsel and General Counsel are unavailable.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PROHIBITION AGAINST SHORT SELLING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violates Company policy for any Subject Person of the Company to sell any equity security of the Company if such person either (a) does not own the security sold or (b) does not deliver the security against such sale within twenty days thereafter or does not within five days after such sale deposit the security in the mails or other usual channels of transportation unless such sale is approved in writing by RBC’s Senior Corporate Counsel, General Counsel or CFO.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w:t>
      </w:r>
      <w:r>
        <w:rPr>
          <w:rFonts w:ascii="Times New Roman" w:cs="Times New Roman" w:eastAsia="Times New Roman" w:hAnsi="Times New Roman"/>
          <w:sz w:val="18"/>
          <w:szCs w:val="18"/>
          <w:b w:val="1"/>
          <w:bCs w:val="1"/>
          <w:u w:val="single" w:color="auto"/>
          <w:color w:val="auto"/>
        </w:rPr>
        <w:t>PROHIBITION AGAINST TRADING IN DERIVATIVES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violates Company policy for any Subject Person to purchase, sell or engage in any other transaction involving any derivative securities related to any equity securities of the Company. A “derivative security” includes any option, warrant, convertible security, stock appreciation right or similar security with an exercise or conversion price or other value related to the value of any equity security of the Company. This prohibition does not, however, apply to any exercise of Company stock options or warrants pursuant to the Company’s equity incentive plan or any other benefit plan that may be adopted by the Company from time to time, any sale of Company stock in connection with any cashless exercise (if otherwise permitted), or payment of withholding tax upon the exercise, of any such stock option or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CONTACT INFORMATION</w:t>
      </w:r>
    </w:p>
    <w:p>
      <w:pPr>
        <w:spacing w:after="0" w:line="22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RBC’s Senior Corporate Counsel, General Counsel or CFO may be reached as follows: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Corporate Counsel at (xxx) xxx-xxxx or </w:t>
      </w:r>
      <w:r>
        <w:rPr>
          <w:rFonts w:ascii="Times New Roman" w:cs="Times New Roman" w:eastAsia="Times New Roman" w:hAnsi="Times New Roman"/>
          <w:sz w:val="18"/>
          <w:szCs w:val="18"/>
          <w:u w:val="single" w:color="auto"/>
          <w:color w:val="auto"/>
        </w:rPr>
        <w:t>xxxxxxxxx@rbcbearings.com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Counsel at (xxx) xxx-xxxx or </w:t>
      </w:r>
      <w:r>
        <w:rPr>
          <w:rFonts w:ascii="Times New Roman" w:cs="Times New Roman" w:eastAsia="Times New Roman" w:hAnsi="Times New Roman"/>
          <w:sz w:val="18"/>
          <w:szCs w:val="18"/>
          <w:u w:val="single" w:color="auto"/>
          <w:color w:val="auto"/>
        </w:rPr>
        <w:t>xxxxxxxxx@rbcbearings.com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CFO at (xxx) xxx-xxxx or </w:t>
      </w:r>
      <w:r>
        <w:rPr>
          <w:rFonts w:ascii="Times New Roman" w:cs="Times New Roman" w:eastAsia="Times New Roman" w:hAnsi="Times New Roman"/>
          <w:sz w:val="18"/>
          <w:szCs w:val="18"/>
          <w:u w:val="single" w:color="auto"/>
          <w:color w:val="auto"/>
        </w:rPr>
        <w:t>xxxxxxxxx@rbcbearings.com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shareholder has questions about this policy or their equity grants, they may contact the Senior Corporate Counsel at (xxx) xxx-xxxx or </w:t>
      </w:r>
      <w:r>
        <w:rPr>
          <w:rFonts w:ascii="Times New Roman" w:cs="Times New Roman" w:eastAsia="Times New Roman" w:hAnsi="Times New Roman"/>
          <w:sz w:val="18"/>
          <w:szCs w:val="18"/>
          <w:u w:val="single" w:color="auto"/>
          <w:color w:val="auto"/>
        </w:rPr>
        <w:t>xxxxxxxxx@rbcbearings.com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contact information at Merrill Lynch refer to the RBC Equity Program – Merrill Lynch Contact List (attached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IX. </w:t>
      </w:r>
      <w:r>
        <w:rPr>
          <w:rFonts w:ascii="Times New Roman" w:cs="Times New Roman" w:eastAsia="Times New Roman" w:hAnsi="Times New Roman"/>
          <w:sz w:val="18"/>
          <w:szCs w:val="18"/>
          <w:b w:val="1"/>
          <w:bCs w:val="1"/>
          <w:u w:val="single" w:color="auto"/>
          <w:color w:val="auto"/>
        </w:rPr>
        <w:t>REFERENCES</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Trading Certification</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Beneficial Ownership Forms Required by the SEC</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Listing of Subject Persons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Merrill Lynch Contact List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u w:val="single" w:color="auto"/>
          <w:color w:val="auto"/>
        </w:rPr>
        <w:t>TRADING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to RBC Bearings Incorporated as follows:</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intend to engage in one of the following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or sale of RBC stock in the open market through a broker</w:t>
      </w:r>
    </w:p>
    <w:p>
      <w:pPr>
        <w:spacing w:after="0" w:line="225" w:lineRule="exact"/>
        <w:rPr>
          <w:rFonts w:ascii="MS PGothic" w:cs="MS PGothic" w:eastAsia="MS PGothic" w:hAnsi="MS PGothic"/>
          <w:sz w:val="18"/>
          <w:szCs w:val="18"/>
          <w:color w:val="auto"/>
        </w:rPr>
      </w:pPr>
    </w:p>
    <w:p>
      <w:pPr>
        <w:ind w:left="660" w:right="20" w:hanging="328"/>
        <w:spacing w:after="0" w:line="282" w:lineRule="auto"/>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adoption of a stock trading plan pursuant to Rule 10b5-1 under the Securities Exchange Act of 1934 with respect to RBC Bearings stock---a copy of such stock trading plan is attached hereto</w:t>
      </w:r>
    </w:p>
    <w:p>
      <w:pPr>
        <w:spacing w:after="0" w:line="161" w:lineRule="exact"/>
        <w:rPr>
          <w:rFonts w:ascii="MS PGothic" w:cs="MS PGothic" w:eastAsia="MS PGothic" w:hAnsi="MS PGothic"/>
          <w:sz w:val="18"/>
          <w:szCs w:val="18"/>
          <w:color w:val="auto"/>
        </w:rPr>
      </w:pPr>
    </w:p>
    <w:p>
      <w:pPr>
        <w:ind w:left="660" w:hanging="328"/>
        <w:spacing w:after="0"/>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or sale of securities of one of RBC’s significant customers or vendors in the open market through a broker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or sale of securities of one of RBC’s significant customers or vendors other than in the open market through a broker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or sale of a put or call or other derivative security involving RBC or one of RBC’s significant customers or vendors</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gift of RBC stock to independent charity</w:t>
      </w:r>
    </w:p>
    <w:p>
      <w:pPr>
        <w:spacing w:after="0" w:line="225" w:lineRule="exact"/>
        <w:rPr>
          <w:rFonts w:ascii="MS PGothic" w:cs="MS PGothic" w:eastAsia="MS PGothic" w:hAnsi="MS PGothic"/>
          <w:sz w:val="18"/>
          <w:szCs w:val="18"/>
          <w:color w:val="auto"/>
        </w:rPr>
      </w:pPr>
    </w:p>
    <w:p>
      <w:pPr>
        <w:jc w:val="both"/>
        <w:ind w:left="340" w:right="2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do not possess any material nonpublic information regarding RBC Bearings (or the customer or vendors whose securities are the subject of my transaction). As used herein “material nonpublic information” means any information concerning RBC (or the relevant customer or vendor) not previously disclosed to the public by press release, public filing or other public means that a reasonable investor or shareholder would consider important in making a decision to buy or sell the securities in question.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become aware of any material nonpublic information regarding RBC (or the customer or vendors whose securities are the subject of my transaction) prior to the completion of my purchase or sale or the implementation of my stock trading plan, as relevant, I will (i) immediately terminate such sale, purchase or implementation and (ii) promptly notify RBC’s General Counsel.</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transaction is being made in accordance with the terms of RBC’s Policy No. A.1.3 “Trading in Stock of RBC Bearings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Certification in good faith as of _______________, 20__.</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 ____________________________________</w:t>
      </w:r>
    </w:p>
    <w:p>
      <w:pPr>
        <w:spacing w:after="0" w:line="225" w:lineRule="exact"/>
        <w:rPr>
          <w:sz w:val="20"/>
          <w:szCs w:val="20"/>
          <w:color w:val="auto"/>
        </w:rPr>
      </w:pPr>
    </w:p>
    <w:p>
      <w:pPr>
        <w:ind w:left="6760"/>
        <w:spacing w:after="0"/>
        <w:tabs>
          <w:tab w:leader="none" w:pos="7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APPROVED (one signature required) – good for five (5) business days after the date of this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CFO __________________________________ (xxx-xxx-xxxx)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General Counsel __________________________________ (xxx-xxx-xxxx)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Corporate Counsel __________________________________ (xxx-xxx-xxxx)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Beneficial Ownership Forms Required by the SEC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16 of the Exchange Act and the SEC’s rules thereunder require all of the executive officers, directors and greater than 10% stockholders of the Company to report their initial beneficial ownership of equity securities of the Company and any subsequent changes in that ownership.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Form 3 must be filed within 10 days of becoming an executive officer or director of the Company. This report discloses the reporting person’s beneficial interest in Company securities and must be filed even if such person does not own any Company securities.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Form 4 must be filed to report acquisitions and dispositions of Company securities, including (a) any grant, exercise or conversion of Company restricted stock or derivative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stock options), (b) any transfers to or from indirect forms of ownership, such as transfers to trusts, (c) any transfers pursuant to bona fide gifts, and (d) any intra-plan transfers involving Company securities held under pension or retirement plans. The Form 4 must also indicate if a transaction occurred under a Rule 10b5-1 plan and, if so, the plan’s adoption date. A Form 4 must generally be filed within two business days of the date of execution of the transaction (not the settlement date or subsequent closing or delivery date). The SEC rules provide for a limited exception to the two business day filing requirement in the case of prearranged trading programs and any intra-plan transfers involving Company securities held under the Company’s pension or retirement plans, in each case for which the officer or director does not select the date of execution. In those cases, a Form 4 must be filed with the SEC within two business days following the date on which the officer or director is notified of the transaction. However, if the officer or director does not receive notification by the third business day following the actual trade date, then the third business day is deemed to be the date of execution. Consequently, it is important that officers and directors ensure that their brokers and the plan administrator notify them promptly of any transaction. A Form 4 must also be filed after a person ceases to be an officer or director of the Company if there is a non-exempt, “opposite-way” transaction within six months of such person’s last transaction while an officer or director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open market sale within six months of a purchase).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Form 5 must be filed within 45 days after the Company’s fiscal year-end by every person who was an executive officer or director at any time during the fiscal year to report (i) certain small acquisitions of Company securities, (ii) certain miscellaneous transactions, such as gifts or inheritances and (iii) any transaction during the last fiscal year that was required to be reported on a Form 3 or Form 4 but was not reported. The regulations provide that, at the discretion of the officer or director involved, transactions normally reported at fiscal year-end on a Form 5 may be reported earlier on a Form 4. If there are no reportable transactions, or if all reportable transactions have already been reported on a Form 3 or Form 4, a Form 5 is not required. The Company encourages the use of the Form 4 early reporting option to help prevent transactions from going unreported at fiscal year-end and to help eliminate the need to file a Form 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 reports must be filed electronically with the SEC via EDGAR and promptly posted to the Company’s website. The Company has established a program to assist executive officers and directors in preparing and filing these forms, though the ultimate responsibility for these forms shall be with the reporting persons. The forms will be signed off by the General Counsel, Assistant General Counsel, and Corporate Accounting before being filed.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that the beneficial ownership reporting requirements do not apply to all senior personnel of the Company. These requirements, as well as the “short-swing” profit disgorgement provisions, apply only to executive officers and directors of the Company. The term “officer” is specifically defined for Section 16 purposes, and includes the principal officers of the Company and may include officers of subsidiaries. Senior personnel with questions about their status for Section 16 reporting purposes should consult with the Chief Financial Officer or Senior Corporate Counsel.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LISTING OF SUBJECT PERSONS</w:t>
      </w:r>
    </w:p>
    <w:p>
      <w:pPr>
        <w:spacing w:after="0" w:line="229" w:lineRule="exact"/>
        <w:rPr>
          <w:sz w:val="20"/>
          <w:szCs w:val="20"/>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RBC Director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RBC Officer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RBC employee or outside consultant who receives restricted stock or stock options under RBC’s equity incentive plan</w:t>
      </w: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Airtomic LLC –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Power de Mexico, S. de R.L. de C.V. –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Power Manufacturing Co. –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Climax Metal Products Company –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Industrial Australia Pty Ltd. –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Industrial Canada Inc. –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Industrial,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Industrial India Private Limited –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Industrial (Shanghai) Company Limited –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Mechanical Power Transmission Mexico, S. de R.L. de C.V. –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 (Shanghai) Mechanical Power Transmission Ltd. –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Tectonics Bearings Corporation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Aerostructures LLC –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Aircraft Products,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Bearings Polska sp. z o.o. – 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de Mexico, S. de R.L. de C.V. –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Dodge Industrial Ltd. – England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France SAS – 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Lubron Bearing Systems,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Nice Bearings,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Oklahoma,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Precision Products,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Southwest Products,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Specline,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Turbine Components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Roller Bearing Company of America, Inc.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Sargent Aerospace and Defense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Schaublin GmbH – 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Schaublin Holding SA –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Schaublin SA –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Sonic Industries, Inc. –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Tool Systems AG -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Vianel Holding AG –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Precision Aero LLC – California</w:t>
      </w:r>
    </w:p>
    <w:p>
      <w:pPr>
        <w:spacing w:after="0" w:line="20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which are, directly or indirectly, wholly-owned by the registrant.</w:t>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333-192164) pertaining to the RBC Bearings Incorporated 2013 Long-Term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333-221329) pertaining to the RBC Bearings Incorporated 2017 Long-Term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333-259669) pertaining to the RBC Bearings Incorporated Common Stock and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333-265490) pertaining to the RBC Bearings Incorporated 2021 Long-Term Equity Incentive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May 17, 2024, with respect to the consolidated financial statements of RBC Bearings Incorporated and the effectiveness of internal control over financial reporting of RBC Bearings Incorporated included in this Annual Report (Form 10-K) of RBC Bearings Incorporated for the year ended March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Michael J. Hartnett,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RBC Bearings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J. Hartnett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M. Sullivan,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RBC Bearings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Robert M. Sullivan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RBC Bearings Incorporated (the “Company”) Form 10-K for the year ended March 30, 2024, as filed with the Securities and Exchange Commission on the date hereof (the “Report”), the undersigned, Dr. Michael J. Hartnett, the President and Chief Executive Officer of the Company, pursuant to 18 U.S.C. §1350, as adopted pursuant to section 906 of the Sarbanes-Oxley Act of 2002, hereby certifies to the best of his knowledge that:</w:t>
      </w:r>
    </w:p>
    <w:p>
      <w:pPr>
        <w:spacing w:after="0" w:line="180"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17, 2024</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J. Hartnett</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RBC Bearings Incorporated (the “Company”) Form 10-K for the year ended March 30, 2024, as filed with the Securities and Exchange Commission on the date hereof (the “Report”), the undersigned, Robert M. Sullivan, Chief Financial Officer, of the Company, pursuant to 18 U.S.C. §1350, as adopted pursuant to section 906 of the Sarbanes-Oxley Act of 2002, hereby certifies to the best of his knowledge that:</w:t>
      </w:r>
    </w:p>
    <w:p>
      <w:pPr>
        <w:spacing w:after="0" w:line="17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17, 2024</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Robert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M. Sullivan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RBC Bearings Incorporated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rules promulgated thereunder by the Securities and Exchange Commission (SEC), and the listing standards of the New York Stock Exchange (NYSE) (i.e., the national securities exchange on which the Company’s securities are listed as of the adoption of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Any determinations made by the Compensation Committee will be final and binding on all affected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Compensation Committee in accordance with Section 10D of the Exchange Act, the rules promulgated thereunder, and the listing standards of the NYSE) and such other senior executives or employees who may from time to time be deemed subject to this Policy by the Compensation Committee (collectively, the “</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Incentive-Based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on the attainment of a financial reporting measure (including (i) non-equity incentive plan awards that are earned solely or in part by achieving a financial reporting measure performance goal, (ii) bonuses paid from a bonus pool where the size of the pool is determined solely or in part by attaining a financial reporting measure performance goal, (iii) other cash awards based on achieving a financial reporting measure performance goal, (iv) restricted stock, restricted stock units, stock options, stock appreciation rights, and performance share units that are granted or vest solely or in part based on attaining a financial reporting measure performance goal, and (v) proceeds from the sale of shares acquired through an incentive plan that were granted or vested solely or in part based on achieving a financial reporting measure performance goal).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that would not be considered Incentive-Based Compensation includes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achieving a financial reporting measure performance goal.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financial reporting measure used for Incentive-Based Compensation purposes is (i) any measure that is determined and presented in accordance with the accounting principles used in preparing financial statements, or any measure derived wholly or in part from such measure whether or not the measure used is contained in the financial statements or otherwise disclosed, or (ii) stock price or total shareholder return. Financial reporting measures include revenues, net income, operating income, EBITDA, financial performance of a business unit or segment, financial ratios, liquidity measures (e.g., working capital, operating cash flow), return measures (e.g., return on invested capital), and earnings measures (e.g., earnings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the Compensation Committee shall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and (z) during the three completed fiscal years immediately preceding the date on which the Company is required to prepare an Accounting Restatement.</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will not be required to recover any Overpayment to the extent that the Compensation Committee determines such recovery would be impracticable because:</w:t>
      </w:r>
    </w:p>
    <w:p>
      <w:pPr>
        <w:spacing w:after="0" w:line="162" w:lineRule="exact"/>
        <w:rPr>
          <w:sz w:val="20"/>
          <w:szCs w:val="20"/>
          <w:color w:val="auto"/>
        </w:rPr>
      </w:pPr>
    </w:p>
    <w:p>
      <w:pPr>
        <w:ind w:left="980" w:hanging="324"/>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2" w:lineRule="exact"/>
        <w:rPr>
          <w:rFonts w:ascii="Times New Roman" w:cs="Times New Roman" w:eastAsia="Times New Roman" w:hAnsi="Times New Roman"/>
          <w:sz w:val="18"/>
          <w:szCs w:val="18"/>
          <w:color w:val="auto"/>
        </w:rPr>
      </w:pPr>
    </w:p>
    <w:p>
      <w:pPr>
        <w:ind w:left="340" w:hanging="324"/>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date on which the Company is required to prepare an Accounting Restatement is the earlier of (i) the date the Board, a committee of the Board, or the officers of the Company authorized to take such action if Board action is not required, concludes or reasonably should have concluded that the Company’s previously issued financial statements contain a material error,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7830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Overpayment Subject to Recovery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 w:cs="Times New Roman" w:eastAsia="Times New Roman" w:hAnsi="Times New Roman"/>
          <w:sz w:val="18"/>
          <w:szCs w:val="18"/>
          <w:u w:val="single" w:color="auto"/>
          <w:color w:val="auto"/>
        </w:rPr>
        <w:t>Overpayment</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compensation is not subject to mathematical recalculation directly from the information in the Accounting Restatement, the amount of the Overpayment shall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NYSE.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shall determine the method or methods for recouping any Overpayment, which may include:</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 granted as Incentive-Based Compensation;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any or all of the Overpayment from any compensation otherwise owed by the Company to the Covered Executive;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or recovery action permitted by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on Recovery; No Additional Payments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right to recovery will be limited to Overpayments received during the three completed fiscal years prior to the date on which the Company is required to prepare an Accounting Restatement.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an Accounting Restatement would result in a Covered Executive’s Incentive-Based Compensation being larger than what the Covered Executive actually received, the Company will not be required to award the Covered Executive any additional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 or the NYSE.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is effective as of the date it is adopted by the Board and will apply to Incentive- Based Compensation received (as determined pursuant to this Policy) on or after October 2, 2023 (including Incentive-Based Compensation received pursuant to arrangements existing prior to the adoption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amend this Policy from time to time in its discretion. The Board may terminate this Policy at any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Recoupment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Any right of recoupment under this Policy is in addition to, and not in lieu of, any other remedies or rights of recoupment that may be available to the Company pursuant to the terms of any employment agreement, equity award agreement, cash-based bonus plan or program, or similar agreement, and any other legal remedies available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and other legal representatives.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lowerRoman"/>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Roman"/>
      <w:start w:val="1"/>
    </w:lvl>
  </w:abstractNum>
  <w:abstractNum w:abstractNumId="14">
    <w:nsid w:val="836C40E"/>
    <w:multiLevelType w:val="hybridMultilevel"/>
    <w:lvl w:ilvl="0">
      <w:lvlJc w:val="left"/>
      <w:lvlText w:val="(%1)"/>
      <w:numFmt w:val="lowerRoman"/>
      <w:start w:val="3"/>
    </w:lvl>
  </w:abstractNum>
  <w:abstractNum w:abstractNumId="15">
    <w:nsid w:val="2901D82"/>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6">
    <w:nsid w:val="3A95F874"/>
    <w:multiLevelType w:val="hybridMultilevel"/>
    <w:lvl w:ilvl="0">
      <w:lvlJc w:val="left"/>
      <w:lvlText w:val="%1"/>
      <w:numFmt w:val="decimal"/>
      <w:start w:val="19"/>
    </w:lvl>
  </w:abstractNum>
  <w:abstractNum w:abstractNumId="17">
    <w:nsid w:val="8138641"/>
    <w:multiLevelType w:val="hybridMultilevel"/>
    <w:lvl w:ilvl="0">
      <w:lvlJc w:val="left"/>
      <w:lvlText w:val="%1"/>
      <w:numFmt w:val="decimal"/>
      <w:start w:val="21"/>
    </w:lvl>
  </w:abstractNum>
  <w:abstractNum w:abstractNumId="18">
    <w:nsid w:val="1E7FF521"/>
    <w:multiLevelType w:val="hybridMultilevel"/>
    <w:lvl w:ilvl="0">
      <w:lvlJc w:val="left"/>
      <w:lvlText w:val="%1"/>
      <w:numFmt w:val="decimal"/>
      <w:start w:val="23"/>
    </w:lvl>
  </w:abstractNum>
  <w:abstractNum w:abstractNumId="19">
    <w:nsid w:val="7C3DBD3D"/>
    <w:multiLevelType w:val="hybridMultilevel"/>
    <w:lvl w:ilvl="0">
      <w:lvlJc w:val="left"/>
      <w:lvlText w:val="%1"/>
      <w:numFmt w:val="decimal"/>
      <w:start w:val="97"/>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upperLetter"/>
      <w:start w:val="9"/>
    </w:lvl>
  </w:abstractNum>
  <w:abstractNum w:abstractNumId="22">
    <w:nsid w:val="22221A70"/>
    <w:multiLevelType w:val="hybridMultilevel"/>
    <w:lvl w:ilvl="0">
      <w:lvlJc w:val="left"/>
      <w:lvlText w:val="%1."/>
      <w:numFmt w:val="upperLetter"/>
      <w:start w:val="35"/>
    </w:lvl>
  </w:abstractNum>
  <w:abstractNum w:abstractNumId="23">
    <w:nsid w:val="4516DDE9"/>
    <w:multiLevelType w:val="hybridMultilevel"/>
    <w:lvl w:ilvl="0">
      <w:lvlJc w:val="left"/>
      <w:lvlText w:val="%1."/>
      <w:numFmt w:val="upperLetter"/>
      <w:start w:val="61"/>
    </w:lvl>
  </w:abstractNum>
  <w:abstractNum w:abstractNumId="24">
    <w:nsid w:val="3006C83E"/>
    <w:multiLevelType w:val="hybridMultilevel"/>
    <w:lvl w:ilvl="0">
      <w:lvlJc w:val="left"/>
      <w:lvlText w:val="●"/>
      <w:numFmt w:val="bullet"/>
      <w:start w:val="1"/>
    </w:lvl>
    <w:lvl w:ilvl="1">
      <w:lvlJc w:val="left"/>
      <w:lvlText w:val="(%2)"/>
      <w:numFmt w:val="lowerRoman"/>
      <w:start w:val="7"/>
    </w:lvl>
  </w:abstractNum>
  <w:abstractNum w:abstractNumId="25">
    <w:nsid w:val="614FD4A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6">
    <w:nsid w:val="419AC241"/>
    <w:multiLevelType w:val="hybridMultilevel"/>
    <w:lvl w:ilvl="0">
      <w:lvlJc w:val="left"/>
      <w:lvlText w:val="%1."/>
      <w:numFmt w:val="upperLetter"/>
      <w:start w:val="4"/>
    </w:lvl>
    <w:lvl w:ilvl="1">
      <w:lvlJc w:val="left"/>
      <w:lvlText w:val="%2."/>
      <w:numFmt w:val="decimal"/>
      <w:start w:val="1"/>
    </w:lvl>
  </w:abstractNum>
  <w:abstractNum w:abstractNumId="27">
    <w:nsid w:val="5577F8E1"/>
    <w:multiLevelType w:val="hybridMultilevel"/>
    <w:lvl w:ilvl="0">
      <w:lvlJc w:val="left"/>
      <w:lvlText w:val="%1."/>
      <w:numFmt w:val="decimal"/>
      <w:start w:val="3"/>
    </w:lvl>
    <w:lvl w:ilvl="1">
      <w:lvlJc w:val="left"/>
      <w:lvlText w:val="%2."/>
      <w:numFmt w:val="upperLetter"/>
      <w:start w:val="1"/>
    </w:lvl>
  </w:abstractNum>
  <w:abstractNum w:abstractNumId="28">
    <w:nsid w:val="440BADFC"/>
    <w:multiLevelType w:val="hybridMultilevel"/>
    <w:lvl w:ilvl="0">
      <w:lvlJc w:val="left"/>
      <w:lvlText w:val="%1"/>
      <w:numFmt w:val="upperLetter"/>
      <w:start w:val="1"/>
    </w:lvl>
    <w:lvl w:ilvl="1">
      <w:lvlJc w:val="left"/>
      <w:lvlText w:val="%2."/>
      <w:numFmt w:val="upperLetter"/>
      <w:start w:val="2"/>
    </w:lvl>
  </w:abstractNum>
  <w:abstractNum w:abstractNumId="29">
    <w:nsid w:val="5072367"/>
    <w:multiLevelType w:val="hybridMultilevel"/>
    <w:lvl w:ilvl="0">
      <w:lvlJc w:val="left"/>
      <w:lvlText w:val="%1."/>
      <w:numFmt w:val="upperLetter"/>
      <w:start w:val="1"/>
    </w:lvl>
    <w:lvl w:ilvl="1">
      <w:lvlJc w:val="left"/>
      <w:lvlText w:val="●"/>
      <w:numFmt w:val="bullet"/>
      <w:start w:val="1"/>
    </w:lvl>
  </w:abstractNum>
  <w:abstractNum w:abstractNumId="30">
    <w:nsid w:val="3804823E"/>
    <w:multiLevelType w:val="hybridMultilevel"/>
    <w:lvl w:ilvl="0">
      <w:lvlJc w:val="left"/>
      <w:lvlText w:val="%1."/>
      <w:numFmt w:val="upperLetter"/>
      <w:start w:val="2"/>
    </w:lvl>
  </w:abstractNum>
  <w:abstractNum w:abstractNumId="31">
    <w:nsid w:val="77465F01"/>
    <w:multiLevelType w:val="hybridMultilevel"/>
    <w:lvl w:ilvl="0">
      <w:lvlJc w:val="left"/>
      <w:lvlText w:val="%1."/>
      <w:numFmt w:val="upperLetter"/>
      <w:start w:val="1"/>
    </w:lvl>
  </w:abstractNum>
  <w:abstractNum w:abstractNumId="32">
    <w:nsid w:val="7724C67E"/>
    <w:multiLevelType w:val="hybridMultilevel"/>
    <w:lvl w:ilvl="0">
      <w:lvlJc w:val="left"/>
      <w:lvlText w:val="%1."/>
      <w:numFmt w:val="decimal"/>
      <w:start w:val="1"/>
    </w:lvl>
    <w:lvl w:ilvl="1">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lowerRoman"/>
      <w:start w:val="1"/>
    </w:lvl>
  </w:abstractNum>
  <w:abstractNum w:abstractNumId="39">
    <w:nsid w:val="153EA438"/>
    <w:multiLevelType w:val="hybridMultilevel"/>
    <w:lvl w:ilvl="0">
      <w:lvlJc w:val="left"/>
      <w:lvlText w:val="(%1)"/>
      <w:numFmt w:val="lowerRoman"/>
      <w:start w:val="1"/>
    </w:lvl>
  </w:abstractNum>
  <w:abstractNum w:abstractNumId="40">
    <w:nsid w:val="3855585C"/>
    <w:multiLevelType w:val="hybridMultilevel"/>
    <w:lvl w:ilvl="0">
      <w:lvlJc w:val="left"/>
      <w:lvlText w:val="%1"/>
      <w:numFmt w:val="decimal"/>
      <w:start w:val="1"/>
    </w:lvl>
    <w:lvl w:ilvl="1">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93" Type="http://schemas.openxmlformats.org/officeDocument/2006/relationships/hyperlink" Target="http://www.sec.gov/Archives/edgar/data/1324948/000104746905020940/a2161879zex-3_1.htm" TargetMode="External"/><Relationship Id="rId94" Type="http://schemas.openxmlformats.org/officeDocument/2006/relationships/hyperlink" Target="http://www.sec.gov/Archives/edgar/data/1324948/000161577417005124/s107524_ex3-1.htm" TargetMode="External"/><Relationship Id="rId95" Type="http://schemas.openxmlformats.org/officeDocument/2006/relationships/hyperlink" Target="https://www.sec.gov/Archives/edgar/data/1324948/000121390022029810/f10k2022ex4-1_rbcbearings.htm" TargetMode="External"/><Relationship Id="rId96" Type="http://schemas.openxmlformats.org/officeDocument/2006/relationships/hyperlink" Target="http://www.sec.gov/Archives/edgar/data/1324948/000104746905020810/a2161666zex-4_3.htm" TargetMode="External"/><Relationship Id="rId97" Type="http://schemas.openxmlformats.org/officeDocument/2006/relationships/hyperlink" Target="http://www.sec.gov/Archives/edgar/data/1324948/000110465921119176/tm2127414d17_ex3-1.htm" TargetMode="External"/><Relationship Id="rId98" Type="http://schemas.openxmlformats.org/officeDocument/2006/relationships/hyperlink" Target="http://www.sec.gov/Archives/edgar/data/1324948/000110465921124183/tm2129422d1_ex4-1.htm" TargetMode="External"/><Relationship Id="rId99" Type="http://schemas.openxmlformats.org/officeDocument/2006/relationships/hyperlink" Target="http://www.sec.gov/Archives/edgar/data/1324948/000121390022032056/ea161400ex10-1_rbcbearings.htm" TargetMode="External"/><Relationship Id="rId100" Type="http://schemas.openxmlformats.org/officeDocument/2006/relationships/hyperlink" Target="http://www.sec.gov/Archives/edgar/data/1324948/000121390022044595/ea163804ex10-1_rbcbear.htm" TargetMode="External"/><Relationship Id="rId101" Type="http://schemas.openxmlformats.org/officeDocument/2006/relationships/hyperlink" Target="http://www.sec.gov/Archives/edgar/data/1324948/000121390022032056/ea161400ex10-2_rbcbearings.htm" TargetMode="External"/><Relationship Id="rId102" Type="http://schemas.openxmlformats.org/officeDocument/2006/relationships/hyperlink" Target="http://www.sec.gov/Archives/edgar/data/1324948/000121390022044595/ea163804ex10-2_rbcbear.htm" TargetMode="External"/><Relationship Id="rId103" Type="http://schemas.openxmlformats.org/officeDocument/2006/relationships/hyperlink" Target="http://www.sec.gov/Archives/edgar/data/1324948/000114420410004742/v172569_ex10-1.htm" TargetMode="External"/><Relationship Id="rId104" Type="http://schemas.openxmlformats.org/officeDocument/2006/relationships/hyperlink" Target="http://www.sec.gov/Archives/edgar/data/1324948/000161577417003865/s106949_ex10-1.htm" TargetMode="External"/><Relationship Id="rId105" Type="http://schemas.openxmlformats.org/officeDocument/2006/relationships/hyperlink" Target="http://www.sec.gov/Archives/edgar/data/1324948/000114420413047273/v353513_ex10-1.htm" TargetMode="External"/><Relationship Id="rId106" Type="http://schemas.openxmlformats.org/officeDocument/2006/relationships/hyperlink" Target="http://www.sec.gov/Archives/edgar/data/1324948/000161577417003865/s106949_ex10-2.htm" TargetMode="External"/><Relationship Id="rId107" Type="http://schemas.openxmlformats.org/officeDocument/2006/relationships/hyperlink" Target="http://www.sec.gov/Archives/edgar/data/1324948/000121390021047438/ea147137ex10-1_rbcbearings.htm" TargetMode="External"/><Relationship Id="rId108" Type="http://schemas.openxmlformats.org/officeDocument/2006/relationships/hyperlink" Target="http://www.sec.gov/Archives/edgar/data/1324948/000121390021055859/ea149679ex10-1_rbcbearings.htm" TargetMode="External"/><Relationship Id="rId109" Type="http://schemas.openxmlformats.org/officeDocument/2006/relationships/hyperlink" Target="http://www.sec.gov/Archives/edgar/data/1324948/000121390021055859/ea149679ex10-2_rbcbearings.htm" TargetMode="External"/><Relationship Id="rId110" Type="http://schemas.openxmlformats.org/officeDocument/2006/relationships/hyperlink" Target="http://www.sec.gov/Archives/edgar/data/1324948/000121390021055859/ea149679ex10-3_rbcbearings.htm" TargetMode="External"/><Relationship Id="rId111" Type="http://schemas.openxmlformats.org/officeDocument/2006/relationships/hyperlink" Target="http://www.sec.gov/Archives/edgar/data/1324948/000121390021055859/ea149679ex10-4_rbcbearings.htm" TargetMode="External"/><Relationship Id="rId112" Type="http://schemas.openxmlformats.org/officeDocument/2006/relationships/hyperlink" Target="http://www.sec.gov/Archives/edgar/data/1324948/000121390021038520/ea144744ex2-1_rbcbearings.htm" TargetMode="External"/><Relationship Id="rId113" Type="http://schemas.openxmlformats.org/officeDocument/2006/relationships/hyperlink" Target="http://www.sec.gov/Archives/edgar/data/1324948/000121390022078207/ea169689ex10-01_rbcbearin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2024-05-17T15:41:56Z</dcterms:created>
  <dcterms:modified xsi:type="dcterms:W3CDTF">2024-05-17T15:41:56Z</dcterms:modified>
</cp:coreProperties>
</file>