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w:t>
      </w:r>
      <w:r>
        <w:rPr>
          <w:rFonts w:ascii="Times New Roman" w:cs="Times New Roman" w:eastAsia="Times New Roman" w:hAnsi="Times New Roman"/>
          <w:sz w:val="18"/>
          <w:szCs w:val="18"/>
          <w:b w:val="1"/>
          <w:bCs w:val="1"/>
          <w:color w:val="auto"/>
        </w:rPr>
        <w:t>June 24, 2026</w:t>
      </w:r>
      <w:r>
        <w:rPr>
          <w:rFonts w:ascii="Times New Roman" w:cs="Times New Roman" w:eastAsia="Times New Roman" w:hAnsi="Times New Roman"/>
          <w:sz w:val="18"/>
          <w:szCs w:val="18"/>
          <w:color w:val="auto"/>
        </w:rPr>
        <w:t xml:space="preserve"> (Date of earliest event reported</w:t>
      </w:r>
      <w:r>
        <w:rPr>
          <w:rFonts w:ascii="Times New Roman" w:cs="Times New Roman" w:eastAsia="Times New Roman" w:hAnsi="Times New Roman"/>
          <w:sz w:val="18"/>
          <w:szCs w:val="18"/>
          <w:b w:val="1"/>
          <w:bCs w:val="1"/>
          <w:color w:val="auto"/>
        </w:rPr>
        <w:t>: June 23, 2026</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001-40840</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95-4372080</w:t>
            </w:r>
          </w:p>
        </w:tc>
      </w:tr>
      <w:tr>
        <w:trPr>
          <w:trHeight w:val="198"/>
        </w:trPr>
        <w:tc>
          <w:tcPr>
            <w:tcW w:w="308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One Tribology Center</w:t>
            </w:r>
          </w:p>
        </w:tc>
        <w:tc>
          <w:tcPr>
            <w:tcW w:w="2940" w:type="dxa"/>
            <w:vAlign w:val="bottom"/>
          </w:tcPr>
          <w:p>
            <w:pPr>
              <w:spacing w:after="0"/>
              <w:rPr>
                <w:sz w:val="24"/>
                <w:szCs w:val="24"/>
                <w:color w:val="auto"/>
              </w:rPr>
            </w:pPr>
          </w:p>
        </w:tc>
      </w:tr>
      <w:tr>
        <w:trPr>
          <w:trHeight w:val="220"/>
        </w:trPr>
        <w:tc>
          <w:tcPr>
            <w:tcW w:w="3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Oxford, CT 06478</w:t>
            </w:r>
          </w:p>
        </w:tc>
        <w:tc>
          <w:tcPr>
            <w:tcW w:w="2940" w:type="dxa"/>
            <w:vAlign w:val="bottom"/>
          </w:tcPr>
          <w:p>
            <w:pPr>
              <w:spacing w:after="0"/>
              <w:rPr>
                <w:sz w:val="19"/>
                <w:szCs w:val="19"/>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(203) 267-7001</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N/A</w:t>
            </w:r>
          </w:p>
        </w:tc>
        <w:tc>
          <w:tcPr>
            <w:tcW w:w="29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60" w:right="2860" w:hanging="3452"/>
        <w:spacing w:after="0" w:line="524" w:lineRule="auto"/>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RBC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 </w:t>
      </w:r>
      <w:r>
        <w:rPr>
          <w:rFonts w:ascii="Times New Roman" w:cs="Times New Roman" w:eastAsia="Times New Roman" w:hAnsi="Times New Roman"/>
          <w:sz w:val="18"/>
          <w:szCs w:val="18"/>
          <w:b w:val="1"/>
          <w:bCs w:val="1"/>
          <w:u w:val="single" w:color="auto"/>
          <w:color w:val="auto"/>
        </w:rPr>
        <w:t>Registrant’s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June 23, 2026 RBC Bearings Incorporated (the “Company” or “RBC”) entered into an amended and restated employment agreement with Dr. Michael J. Hartnett, the Company’s President, Chief Executive Officer and Chairman of the Board of Directors. On the same date the Company and Daniel A. Bergeron, the Company’s Vice President and Chief Operating Officer, entered into an amendment to the employment agreement that the Company and Mr. Bergeron entered into in 2024.</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Item 5.02(e) below for a description of Dr. Hartnett’s new employment agreement and Mr. Bergeron’s amendment to his current employment agreement, which description is incorporated by reference in this Item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 – </w:t>
      </w:r>
      <w:r>
        <w:rPr>
          <w:rFonts w:ascii="Times New Roman" w:cs="Times New Roman" w:eastAsia="Times New Roman" w:hAnsi="Times New Roman"/>
          <w:sz w:val="18"/>
          <w:szCs w:val="18"/>
          <w:b w:val="1"/>
          <w:bCs w:val="1"/>
          <w:u w:val="single" w:color="auto"/>
          <w:color w:val="auto"/>
        </w:rPr>
        <w:t>Corporate Governance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5.02(e). Compensation Arrangements of Certain Officers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new employment agreement entered into with Dr. Hartnett on June 23, 2026 amends and restates the employment agreement that the Company and Dr. Hartnett entered into in 2024 (which was filed with the SEC as Exhibit 10.1 to the Company’s Current Report on Form 8-K dated June 28, 2024). The new agreement has an initial term that expires on March 31, 2027 with automatic annual renewals thereafter unless either party gives 90 days’ notice of nonrenewal. The new agreement is substantially similar to Dr. Hartnett’s prior employment agreement except that it provides for (i) Dr. Hartnett’s new base salary of $1,591,350 per year (a 3.0% increase over the prior year), retroactive to June 1, 2026, (ii) certain modifications to his performance-based compensation tables, (iii) sizing of his equity awards based on RBC’s average closing stock price for the six months immediately preceding the filing of the Annual Report on Form 10-K for the then-completed fiscal year (rather than the closing stock price on the award date as was the case under the 2024 agreement), and (iv) modifications to the definitions in the 2024 agreement regarding the calculation of ROIC so that those definitions align with the Company’s historical practice.</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amendment entered into with Mr. Bergeron on June 23, 2026 amends the employment agreement that the Company and Mr. Bergeron entered into in 2024 (which was filed with the SEC as Exhibit 10.2 to the Company’s Current Report on Form 8-K dated June 28, 2024). The new amendment provides for (i) sizing of his equity awards based on RBC’s average closing stock price for the six months immediately preceding the filing of the Annual Report on Form 10-K for the then-completed fiscal year (rather than the closing stock price on the award date as was the case under the current agreement before it was amended), and (ii) modifications to the definitions in his current agreement regarding the calculation of ROIC so that those definitions align with the Company’s historical practice. At the same time that the Compensation Committee approved the amendment of Mr. Bergeron’s agreement, it approved a 3.0% increase in his annual base salary to $713,482, effective June 1, 2026.</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Dr. Hartnett’s new employment agreement and Mr. Bergeron’s amendment to his current employment agreement do not purport to be complete and are subject to, and qualified in their entirety by, reference to the provisions of Exhibits 10.1 and 10.2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 – </w:t>
      </w:r>
      <w:r>
        <w:rPr>
          <w:rFonts w:ascii="Times New Roman" w:cs="Times New Roman" w:eastAsia="Times New Roman" w:hAnsi="Times New Roman"/>
          <w:sz w:val="18"/>
          <w:szCs w:val="18"/>
          <w:b w:val="1"/>
          <w:bCs w:val="1"/>
          <w:u w:val="single" w:color="auto"/>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Employment Agreement dated as of June 23, 2026 between RBC Bearings Incorporated and Dr. Michael J. Hartnett</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994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Amendment No. 1 to Amended and Restated Employment Agreement dated as of June 23, 2026 between RBC Bearings Incorporated and</w:t>
            </w: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Daniel A. Bergeron</w:t>
            </w:r>
          </w:p>
        </w:tc>
        <w:tc>
          <w:tcPr>
            <w:tcW w:w="8680" w:type="dxa"/>
            <w:vAlign w:val="bottom"/>
            <w:gridSpan w:val="3"/>
          </w:tcPr>
          <w:p>
            <w:pPr>
              <w:spacing w:after="0"/>
              <w:rPr>
                <w:sz w:val="17"/>
                <w:szCs w:val="17"/>
                <w:color w:val="auto"/>
              </w:rPr>
            </w:pPr>
          </w:p>
        </w:tc>
      </w:tr>
    </w:tbl>
    <w:p>
      <w:pPr>
        <w:spacing w:after="0" w:line="9" w:lineRule="exact"/>
        <w:rPr>
          <w:sz w:val="20"/>
          <w:szCs w:val="20"/>
          <w:color w:val="auto"/>
        </w:rPr>
      </w:pPr>
    </w:p>
    <w:p>
      <w:pPr>
        <w:ind w:left="5580" w:right="51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According to the requirements of the Securities Exchange Act of 1934, the Company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John J.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John J. Feeney</w:t>
      </w:r>
    </w:p>
    <w:p>
      <w:pPr>
        <w:spacing w:after="0" w:line="27" w:lineRule="exact"/>
        <w:rPr>
          <w:sz w:val="20"/>
          <w:szCs w:val="20"/>
          <w:color w:val="auto"/>
        </w:rPr>
      </w:pPr>
    </w:p>
    <w:p>
      <w:pPr>
        <w:jc w:val="right"/>
        <w:spacing w:after="0"/>
        <w:tabs>
          <w:tab w:leader="none" w:pos="3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J. HARTNETT, PH.D.</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Amended and Restated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23,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made between RBC Bearings Incorporated, a Delaware corporation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Michael J. Hartnett, Ph.D.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Prior to the time of the entry into this Agreement, Employee has served as Employer’s President, Chief Executive Officer, and Chairman of its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pursuant to a Restated and Amended Employment Agreement dated as of June 27, 2024 (the “</w:t>
      </w:r>
      <w:r>
        <w:rPr>
          <w:rFonts w:ascii="Times New Roman" w:cs="Times New Roman" w:eastAsia="Times New Roman" w:hAnsi="Times New Roman"/>
          <w:sz w:val="18"/>
          <w:szCs w:val="18"/>
          <w:u w:val="single" w:color="auto"/>
          <w:color w:val="auto"/>
        </w:rPr>
        <w:t>Prior Employment Agreement</w:t>
      </w:r>
      <w:r>
        <w:rPr>
          <w:rFonts w:ascii="Times New Roman" w:cs="Times New Roman" w:eastAsia="Times New Roman" w:hAnsi="Times New Roman"/>
          <w:sz w:val="18"/>
          <w:szCs w:val="18"/>
          <w:color w:val="auto"/>
        </w:rPr>
        <w:t>”). Both parties wish to continue this employment relationship exclusively under the terms reflected in this Agreement, and consistent with past practices, not in any case, as an at will employee. Capitalized terms used herein without definition have the meanings provided in Section 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Employer hereby employs Employee and Employee hereby accepts employment, on the terms and conditions hereinafter set forth.</w:t>
      </w:r>
    </w:p>
    <w:p>
      <w:pPr>
        <w:spacing w:after="0" w:line="22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this Agreement, the Company shall employ Employee as its President, Chief Executive Officer, and Chairman of its Board for a term commencing on the Effective Date and continuing until March 31, 2027, or until earlier terminated pursuant to the provisions of Section 5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Upon expiration of the Initial Term, this Agreement will automatically renew for additional one (1) year periods (each a “</w:t>
      </w: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unless either party notifies the other of its intent not to so renew within ninety (90) days prior to the expiration of the Initial Term or any Renewal Term (the Initial Term and all Renewal Terms shall collectively be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229" w:lineRule="exact"/>
        <w:rPr>
          <w:sz w:val="20"/>
          <w:szCs w:val="20"/>
          <w:color w:val="auto"/>
        </w:rPr>
      </w:pPr>
    </w:p>
    <w:p>
      <w:pPr>
        <w:jc w:val="both"/>
        <w:ind w:right="140" w:firstLine="8"/>
        <w:spacing w:after="0" w:line="26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Employee agrees to serve Employer as its President, Chief Executive Officer, and Chairman of its Board reporting to the Board, and in such other executive capacities as may be agreed from time to time by the Board (or a duly authorized committee thereof) and Employee; provided that</w:t>
      </w:r>
    </w:p>
    <w:p>
      <w:pPr>
        <w:ind w:right="40" w:firstLine="8"/>
        <w:spacing w:after="0" w:line="252"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duties shall at all times be limited to those commensurate with the foregoing offices, and (ii) Employee shall not be obligated, without his consent, to relocate his principal office location from Oxford, Connecticut (or the surrounding reasonable commuting area), although the foregoing limitation is not intended to limit Employee’s requirement, in the normal course of business, to travel to the Employer’s other business locations. Employee shall serve, if elected, as a director of, and if agreed by Employee and the board of directors of the organization in question, shall serve as an officer and render appropriate services to, corporations directly or indirectly controlled by Employer (“</w:t>
      </w:r>
      <w:r>
        <w:rPr>
          <w:rFonts w:ascii="Times New Roman" w:cs="Times New Roman" w:eastAsia="Times New Roman" w:hAnsi="Times New Roman"/>
          <w:sz w:val="18"/>
          <w:szCs w:val="18"/>
          <w:u w:val="single" w:color="auto"/>
          <w:color w:val="auto"/>
        </w:rPr>
        <w:t>Employer’s Affiliates</w:t>
      </w:r>
      <w:r>
        <w:rPr>
          <w:rFonts w:ascii="Times New Roman" w:cs="Times New Roman" w:eastAsia="Times New Roman" w:hAnsi="Times New Roman"/>
          <w:sz w:val="18"/>
          <w:szCs w:val="18"/>
          <w:color w:val="auto"/>
        </w:rPr>
        <w:t>”) as Employer may from time to time reasonably request (but only such services as shall be consistent with the duties Employee is to perform for Employer and with Employee’s stature and experience). All duties and services contemplated by this Section 2 are hereinafter referred to as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40" w:firstLine="8"/>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Employee will devote his full business time and attention to, and use his good faith efforts to advance, the business and welfare of Employer; provided that the foregoing shall not restrict Employee’s rights to engage in passive investment activities, to serve on the boards of directors of other entities (so long as such activities are not violative of Section 6), or to engage in civic, charitable and other similar activities.</w:t>
      </w:r>
    </w:p>
    <w:p>
      <w:pPr>
        <w:spacing w:after="0" w:line="1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BENEFITS.</w:t>
      </w:r>
    </w:p>
    <w:p>
      <w:pPr>
        <w:spacing w:after="0" w:line="229" w:lineRule="exact"/>
        <w:rPr>
          <w:sz w:val="20"/>
          <w:szCs w:val="20"/>
          <w:color w:val="auto"/>
        </w:rPr>
      </w:pPr>
    </w:p>
    <w:p>
      <w:pPr>
        <w:ind w:right="60" w:firstLine="8"/>
        <w:spacing w:after="0" w:line="256"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June 1, 2026, Employer shall pay Employee a salary at the rate of $132,612.50 per month payable at least as frequently as monthly and subject to payroll deductions as may be necessary or customary in respect of Employer’s salaried employees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xml:space="preserve">”) shall annually review Employee’s performance and Base Salary and may increase (but not decrease) such Base Salary, at its sole discretion. Any increased Base Salary shall then constitute the “Base Salary” for purposes of this Agreement. During the Term, Employee shall also be entitled to receive the benefits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Additional Benefits</w:t>
      </w:r>
      <w:r>
        <w:rPr>
          <w:rFonts w:ascii="Times New Roman" w:cs="Times New Roman" w:eastAsia="Times New Roman" w:hAnsi="Times New Roman"/>
          <w:sz w:val="18"/>
          <w:szCs w:val="18"/>
          <w:color w:val="auto"/>
        </w:rPr>
        <w:t xml:space="preserve">”) as well as any normal executive benefits of Employer not enumerated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60" w:firstLine="8"/>
        <w:spacing w:after="0" w:line="269" w:lineRule="auto"/>
        <w:tabs>
          <w:tab w:leader="none" w:pos="2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Employee shall also be entitled to receive annual performance-based cash bonuses and annual performance-based short- and long-term equity awards, provided that Employee remains employed by the Company on the last day of the fiscal period to which the bonus or equity award relates (except as otherwise provided in this Agreement), in amounts and at times as follows (for the avoidance of doubt, Employee shall continue to be entitled to receive (i) a performance-based cash bonus and performance-based short-term equity awards with respect to the fiscal year ended March 30, 2024, and (ii) performance based long-term equity awards with respect to each of the two Long-Term Performance Periods the third year of which is FY</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2025 and FY 2026, in each case, in accordance with Employee’s rights to such bonus and awards on the date immediately preceding the Effective Date):</w:t>
      </w:r>
    </w:p>
    <w:p>
      <w:pPr>
        <w:spacing w:after="0" w:line="206" w:lineRule="exact"/>
        <w:rPr>
          <w:rFonts w:ascii="Times New Roman" w:cs="Times New Roman" w:eastAsia="Times New Roman" w:hAnsi="Times New Roman"/>
          <w:sz w:val="17"/>
          <w:szCs w:val="17"/>
          <w:color w:val="auto"/>
        </w:rPr>
      </w:pPr>
    </w:p>
    <w:p>
      <w:pPr>
        <w:jc w:val="both"/>
        <w:ind w:left="980" w:right="120" w:hanging="648"/>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Performance-Based Cash Bonuses</w:t>
      </w:r>
      <w:r>
        <w:rPr>
          <w:rFonts w:ascii="Times New Roman" w:cs="Times New Roman" w:eastAsia="Times New Roman" w:hAnsi="Times New Roman"/>
          <w:sz w:val="18"/>
          <w:szCs w:val="18"/>
          <w:color w:val="auto"/>
        </w:rPr>
        <w:t>. Employee shall be entitled to an annual cash bonus based on the Company’s performance against the Annual Performance Plan for the prior fiscal year, in an amount determined as a percentage of Employee’s Annual Base Salary, based on the following criteria:</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Adjusted EBITDA to Annual Performance Plan</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Bonus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 to 89.9%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of Annual Base Salary</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 to 99.9%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 of Annual Base Salary</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 to 104.9%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 of Annual Base Salary</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105.0 to 109.9%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 of Annual Base Salary</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110.0% or higher</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 of Annual Base Salary</w:t>
            </w:r>
          </w:p>
        </w:tc>
      </w:tr>
    </w:tbl>
    <w:p>
      <w:pPr>
        <w:spacing w:after="0" w:line="198"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The amount payable under this formula, if any, based on performance in a particular fiscal year shall be paid to Employee within 15 days following the publication of the Company’s financial statements for such fiscal year, but in no event later than 120 days following the end of such fiscal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980" w:right="1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Performance-Based Short-Term Equity Awards</w:t>
      </w:r>
      <w:r>
        <w:rPr>
          <w:rFonts w:ascii="Times New Roman" w:cs="Times New Roman" w:eastAsia="Times New Roman" w:hAnsi="Times New Roman"/>
          <w:sz w:val="18"/>
          <w:szCs w:val="18"/>
          <w:color w:val="auto"/>
        </w:rPr>
        <w:t>. Subject to Section 5(e)(v), Employee shall be entitled to an annual award of unrestricted stock based on the Company’s performance against the Annual Performance Plan for the prior fiscal year based on the following criteria:</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Adjusted EBITDA to Annual Performance Plan</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Bonus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 to 84.9%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280% of Annual Base Salary</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85.0% to 94.9%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 of Annual Base Salary</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95.0% to 99.9%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 of Annual Base Salary</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 to 104.9%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525% of Annual Base Salary</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105.0% or higher</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665% of Annual Base Salary</w:t>
            </w:r>
          </w:p>
        </w:tc>
      </w:tr>
    </w:tbl>
    <w:p>
      <w:pPr>
        <w:spacing w:after="0" w:line="198" w:lineRule="exact"/>
        <w:rPr>
          <w:sz w:val="20"/>
          <w:szCs w:val="20"/>
          <w:color w:val="auto"/>
        </w:rPr>
      </w:pPr>
    </w:p>
    <w:p>
      <w:pPr>
        <w:jc w:val="both"/>
        <w:ind w:left="980" w:right="80"/>
        <w:spacing w:after="0" w:line="261" w:lineRule="auto"/>
        <w:rPr>
          <w:sz w:val="20"/>
          <w:szCs w:val="20"/>
          <w:color w:val="auto"/>
        </w:rPr>
      </w:pPr>
      <w:r>
        <w:rPr>
          <w:rFonts w:ascii="Times New Roman" w:cs="Times New Roman" w:eastAsia="Times New Roman" w:hAnsi="Times New Roman"/>
          <w:sz w:val="18"/>
          <w:szCs w:val="18"/>
          <w:color w:val="auto"/>
        </w:rPr>
        <w:t>The number of shares of Company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awarded shall equal (x) Employee’s Annual Base Salary multiplied by the Annual Base Salary percentage that corresponds to the Company’s level of performance to such Annual Performance Plan, divided by (y) the Closing Stock Price, rounded up to the nearest whole share. For the avoidance of doubt, the shares awarded will be unrestricted, meaning that they will be fully vested on the award date.</w:t>
      </w:r>
    </w:p>
    <w:p>
      <w:pPr>
        <w:spacing w:after="0" w:line="180"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The number of shares to be awarded under this formula, if any, based on performance in a particular fiscal year shall be awarded to Employee within 15 days following the publication of the Company’s financial statements for such fiscal year, but in no event later than 120 days following the end of such fiscal year.</w:t>
      </w:r>
    </w:p>
    <w:p>
      <w:pPr>
        <w:spacing w:after="0" w:line="176" w:lineRule="exact"/>
        <w:rPr>
          <w:sz w:val="20"/>
          <w:szCs w:val="20"/>
          <w:color w:val="auto"/>
        </w:rPr>
      </w:pPr>
    </w:p>
    <w:p>
      <w:pPr>
        <w:ind w:left="980" w:right="20" w:hanging="648"/>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Performance-Based Long-Term Equity Awards</w:t>
      </w:r>
      <w:r>
        <w:rPr>
          <w:rFonts w:ascii="Times New Roman" w:cs="Times New Roman" w:eastAsia="Times New Roman" w:hAnsi="Times New Roman"/>
          <w:sz w:val="18"/>
          <w:szCs w:val="18"/>
          <w:color w:val="auto"/>
        </w:rPr>
        <w:t>. Subject to Section 5(e)(v), Employee shall be entitled to two annual awards of unrestricted stock (x) with one award based on the Company’s TSR performance against the average of the Peer Group during the Long-Term Performance Period then ended based on the criteria in the first table below, and (y) the other award with respect to the Company’s ROIC performance in such Long-Term Performance Period against the Long-Term Performance Plan for such Long-Term Performance Period based on the criteria in the second table below:</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240" w:type="dxa"/>
            <w:vAlign w:val="bottom"/>
            <w:tcBorders>
              <w:top w:val="single" w:sz="8" w:color="auto"/>
              <w:left w:val="single" w:sz="8" w:color="auto"/>
              <w:bottom w:val="single" w:sz="8" w:color="auto"/>
            </w:tcBorders>
            <w:shd w:val="clear" w:color="auto" w:fill="BFBFB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Trailing Five-Year TSR as a % of Peer Group Average</w:t>
            </w:r>
          </w:p>
        </w:tc>
        <w:tc>
          <w:tcPr>
            <w:tcW w:w="400" w:type="dxa"/>
            <w:vAlign w:val="bottom"/>
            <w:tcBorders>
              <w:top w:val="single" w:sz="8" w:color="auto"/>
              <w:bottom w:val="single" w:sz="8" w:color="auto"/>
              <w:right w:val="single" w:sz="8" w:color="auto"/>
            </w:tcBorders>
            <w:shd w:val="clear" w:color="auto" w:fill="BFBFBF"/>
          </w:tcPr>
          <w:p>
            <w:pPr>
              <w:spacing w:after="0"/>
              <w:rPr>
                <w:sz w:val="19"/>
                <w:szCs w:val="19"/>
                <w:color w:val="auto"/>
              </w:rPr>
            </w:pP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Bonus</w:t>
            </w:r>
          </w:p>
        </w:tc>
      </w:tr>
      <w:tr>
        <w:trPr>
          <w:trHeight w:val="209"/>
        </w:trPr>
        <w:tc>
          <w:tcPr>
            <w:tcW w:w="5240" w:type="dxa"/>
            <w:vAlign w:val="bottom"/>
            <w:tcBorders>
              <w:left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75.0% to 84.9%</w:t>
            </w:r>
          </w:p>
        </w:tc>
        <w:tc>
          <w:tcPr>
            <w:tcW w:w="4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of Annual Base Salary</w:t>
            </w:r>
          </w:p>
        </w:tc>
      </w:tr>
      <w:tr>
        <w:trPr>
          <w:trHeight w:val="210"/>
        </w:trPr>
        <w:tc>
          <w:tcPr>
            <w:tcW w:w="5240" w:type="dxa"/>
            <w:vAlign w:val="bottom"/>
            <w:tcBorders>
              <w:left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85.0% to 94.9%</w:t>
            </w:r>
          </w:p>
        </w:tc>
        <w:tc>
          <w:tcPr>
            <w:tcW w:w="4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of Annual Base Salary</w:t>
            </w:r>
          </w:p>
        </w:tc>
      </w:tr>
      <w:tr>
        <w:trPr>
          <w:trHeight w:val="209"/>
        </w:trPr>
        <w:tc>
          <w:tcPr>
            <w:tcW w:w="5240" w:type="dxa"/>
            <w:vAlign w:val="bottom"/>
            <w:tcBorders>
              <w:left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95.0% to 104.9%</w:t>
            </w:r>
          </w:p>
        </w:tc>
        <w:tc>
          <w:tcPr>
            <w:tcW w:w="4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 of Annual Base Salary</w:t>
            </w:r>
          </w:p>
        </w:tc>
      </w:tr>
      <w:tr>
        <w:trPr>
          <w:trHeight w:val="210"/>
        </w:trPr>
        <w:tc>
          <w:tcPr>
            <w:tcW w:w="5240" w:type="dxa"/>
            <w:vAlign w:val="bottom"/>
            <w:tcBorders>
              <w:left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105.0% to 114.9%</w:t>
            </w:r>
          </w:p>
        </w:tc>
        <w:tc>
          <w:tcPr>
            <w:tcW w:w="4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 of Annual Base Salary</w:t>
            </w:r>
          </w:p>
        </w:tc>
      </w:tr>
      <w:tr>
        <w:trPr>
          <w:trHeight w:val="210"/>
        </w:trPr>
        <w:tc>
          <w:tcPr>
            <w:tcW w:w="5240" w:type="dxa"/>
            <w:vAlign w:val="bottom"/>
            <w:tcBorders>
              <w:left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114.9% or higher</w:t>
            </w:r>
          </w:p>
        </w:tc>
        <w:tc>
          <w:tcPr>
            <w:tcW w:w="4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 of Annual Base Salary</w:t>
            </w:r>
          </w:p>
        </w:tc>
      </w:tr>
      <w:tr>
        <w:trPr>
          <w:trHeight w:val="648"/>
        </w:trPr>
        <w:tc>
          <w:tcPr>
            <w:tcW w:w="52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7"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ROIC as a % of Long-Term Performance Plan</w:t>
            </w:r>
          </w:p>
        </w:tc>
        <w:tc>
          <w:tcPr>
            <w:tcW w:w="54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Bonus</w:t>
            </w:r>
          </w:p>
        </w:tc>
      </w:tr>
      <w:tr>
        <w:trPr>
          <w:trHeight w:val="209"/>
        </w:trPr>
        <w:tc>
          <w:tcPr>
            <w:tcW w:w="5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99.0%</w:t>
            </w:r>
          </w:p>
        </w:tc>
        <w:tc>
          <w:tcPr>
            <w:tcW w:w="5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 of Annual Base Salary</w:t>
            </w:r>
          </w:p>
        </w:tc>
      </w:tr>
      <w:tr>
        <w:trPr>
          <w:trHeight w:val="210"/>
        </w:trPr>
        <w:tc>
          <w:tcPr>
            <w:tcW w:w="5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5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 of Annual Base Salary</w:t>
            </w:r>
          </w:p>
        </w:tc>
      </w:tr>
      <w:tr>
        <w:trPr>
          <w:trHeight w:val="209"/>
        </w:trPr>
        <w:tc>
          <w:tcPr>
            <w:tcW w:w="5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100.5%</w:t>
            </w:r>
          </w:p>
        </w:tc>
        <w:tc>
          <w:tcPr>
            <w:tcW w:w="5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 of Annual Base Salary</w:t>
            </w:r>
          </w:p>
        </w:tc>
      </w:tr>
    </w:tbl>
    <w:p>
      <w:pPr>
        <w:spacing w:after="0" w:line="198" w:lineRule="exact"/>
        <w:rPr>
          <w:sz w:val="20"/>
          <w:szCs w:val="20"/>
          <w:color w:val="auto"/>
        </w:rPr>
      </w:pPr>
    </w:p>
    <w:p>
      <w:pPr>
        <w:ind w:left="980" w:right="80"/>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awarded shall equal (i) Employee’s Annual Base Salary multiplied by the Annual Base Salary percentage that corresponds to the Company’s level of performance to the Peer Group or the relevant Long-Term Performance Plan, divided by (ii) the Closing Price, rounded up to the nearest whole share. For the avoidance of doubt, the shares awarded will be unrestricted, meaning that they will be fully vested on the award date. If the ROIC component falls between the ranges set forth in the immediately preceding table, the number of shares awarded, in each case, shall be determined on a straight-line interpolated basis.</w:t>
      </w:r>
    </w:p>
    <w:p>
      <w:pPr>
        <w:spacing w:after="0" w:line="183"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The number of shares to be awarded under these formulas, if any, based on performance in a particular Long-Term Performance Period shall be awarded to Employee within 15 days following the publication of the Company’s financial statements for the third fiscal year in such Long-Term Performance Period, but in no event later than 120 days following the end of such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calculations with respect to this Section 3(b) shall be completed by the Company in good faith.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Employee shall be designated as an Eligible Executive under the Company’s Executive Officer Performance Based Compensation Plan.</w:t>
      </w:r>
    </w:p>
    <w:p>
      <w:pPr>
        <w:spacing w:after="0" w:line="22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Employer will pay or reimburse Employee for such reasonable travel, entertainment, educational and other expenses as he may incur on behalf of Employer during the Term in connection with the performance of his duties hereunder. In addition, the Company shall reimburse Employee for any legal fees and costs incurred prior to and including the Effective Date to the extent such fees and costs were incurred in connection with the review, drafting, negotiation, preparation, documentation or execution of this Agreement, within 30 days of Employee’s presentation to the Company of an invoice reflecting the amount of such legal fees and costs incurred by Employee.</w:t>
      </w:r>
    </w:p>
    <w:p>
      <w:pPr>
        <w:spacing w:after="0" w:line="17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Notwithstanding Section 1, the Initial Term may be terminated prior to March 31, 2026, and any Renewal Term may be terminated under the following circumstances:</w:t>
      </w:r>
    </w:p>
    <w:p>
      <w:pPr>
        <w:spacing w:after="0" w:line="162" w:lineRule="exact"/>
        <w:rPr>
          <w:sz w:val="20"/>
          <w:szCs w:val="20"/>
          <w:color w:val="auto"/>
        </w:rPr>
      </w:pPr>
    </w:p>
    <w:p>
      <w:pPr>
        <w:ind w:right="20" w:firstLine="8"/>
        <w:spacing w:after="0" w:line="254"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TOTAL DISABILITY. The Term shall automatically and immediately terminate upon Employee’s death or “Total Disability.” For purposes of this Agreement, “Total Disability” shall mean (i) Employee’s physical or mental incapacitation or disability that renders Employee unable to substantially perform the Services as performed prior to such incapacitation or disability for the period of 26 consecutive weeks or during any 150 business days (whether or not consecutive) during any 12 month period during the Term or (ii) Employee is unable to devote the time and effort to perform, or to perform, the Services in a capacity that is in the best interests of the Company, in each case, due to Employee’s physical or mental health. The determination of a Total Disability as set forth in subclause (ii) in the preceding sentence shall be made by Employee in Employee’s sole discretion, provided that, notwithstanding Employee’s determination, Employee will not be considered disabled if he is not disabled within the meaning of Section 409A(a)(2)(C)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right="40" w:firstLine="8"/>
        <w:spacing w:after="0" w:line="282"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EMPLOYER FOR CAUSE. Employer, at its election, shall have the right to terminate the Term, by written notice to Employee to that effect, for “Cause.” The term “Cause” shall mean:</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fraud, embezzlement, theft or conviction of a crime involving moral turpitude;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Employee of any material covenant, condition, or agreement in this Agreement (“</w:t>
      </w:r>
      <w:r>
        <w:rPr>
          <w:rFonts w:ascii="Times New Roman" w:cs="Times New Roman" w:eastAsia="Times New Roman" w:hAnsi="Times New Roman"/>
          <w:sz w:val="18"/>
          <w:szCs w:val="18"/>
          <w:u w:val="single" w:color="auto"/>
          <w:color w:val="auto"/>
        </w:rPr>
        <w:t>Employee’s Material Breach</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chemical dependency by Employee (other than in connection with medicines prescribed for Employee).</w:t>
      </w:r>
    </w:p>
    <w:p>
      <w:pPr>
        <w:spacing w:after="0" w:line="225"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18"/>
          <w:szCs w:val="18"/>
          <w:color w:val="auto"/>
        </w:rPr>
        <w:t>To terminate the Term pursuant to this Section 5(b), Employer shall give written notice (“</w:t>
      </w:r>
      <w:r>
        <w:rPr>
          <w:rFonts w:ascii="Times New Roman" w:cs="Times New Roman" w:eastAsia="Times New Roman" w:hAnsi="Times New Roman"/>
          <w:sz w:val="18"/>
          <w:szCs w:val="18"/>
          <w:u w:val="single" w:color="auto"/>
          <w:color w:val="auto"/>
        </w:rPr>
        <w:t>Cause Notice</w:t>
      </w:r>
      <w:r>
        <w:rPr>
          <w:rFonts w:ascii="Times New Roman" w:cs="Times New Roman" w:eastAsia="Times New Roman" w:hAnsi="Times New Roman"/>
          <w:sz w:val="18"/>
          <w:szCs w:val="18"/>
          <w:color w:val="auto"/>
        </w:rPr>
        <w:t>”) to Employee specifying the claimed Cause. If Employee fails to cure the same within 30 days after the receipt of the applicable Cause Notice (or such longer period as may be reasonably required if such actions are subject to cure), the Term shall terminate at the end of such 30-day period or such longer reasonable period, as the case may be.</w:t>
      </w:r>
    </w:p>
    <w:p>
      <w:pPr>
        <w:spacing w:after="0" w:line="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Notwithstanding anything that may be interpreted to the contrary, it is expressly agreed that no act of the type contemplated by or described in Section 5(b) (i) shall be capable of being cured by Employee and the Employer may terminate Employee immediately without the requirement for such cure period.</w:t>
      </w:r>
    </w:p>
    <w:p>
      <w:pPr>
        <w:spacing w:after="0" w:line="157" w:lineRule="exact"/>
        <w:rPr>
          <w:sz w:val="20"/>
          <w:szCs w:val="20"/>
          <w:color w:val="auto"/>
        </w:rPr>
      </w:pPr>
    </w:p>
    <w:p>
      <w:pPr>
        <w:ind w:right="80" w:firstLine="8"/>
        <w:spacing w:after="0" w:line="261" w:lineRule="auto"/>
        <w:tabs>
          <w:tab w:leader="none" w:pos="2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EMPLOYER WITHOUT CAUSE. Employer shall have the right, at its election, to terminate the Term at any time for any reason other than “Cause” upon not less than 60 days prior written notice to Employee. For the avoidance of doubt, during such 60-day notice period Employee shall continue to be entitled to any and all payments and benefits, and be granted any equity or equity-based awards, under this Agreement, and any outstanding equity and equity-based awards will continue to vest in accordance with their terms.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EMPLOYEE. Employee shall have the right, at his election, to terminate the Term at any time by written notice to Employer upon not less than 60 days prior written notice; provided, however, that such notice period shall be 30 days in the case of a termination for “Good Reason.”</w:t>
      </w:r>
    </w:p>
    <w:p>
      <w:pPr>
        <w:spacing w:after="0" w:line="161" w:lineRule="exact"/>
        <w:rPr>
          <w:rFonts w:ascii="Times New Roman" w:cs="Times New Roman" w:eastAsia="Times New Roman" w:hAnsi="Times New Roman"/>
          <w:sz w:val="18"/>
          <w:szCs w:val="18"/>
          <w:color w:val="auto"/>
        </w:rPr>
      </w:pPr>
    </w:p>
    <w:p>
      <w:pPr>
        <w:ind w:right="580" w:firstLine="8"/>
        <w:spacing w:after="0" w:line="282"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AND BENEFITS IN EVENT OF TERMINATION. Upon termination of the Term, the following shall be applicable, notwithstanding anything to the contrary elsewhere herein:</w:t>
      </w:r>
    </w:p>
    <w:p>
      <w:pPr>
        <w:spacing w:after="0" w:line="161"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 is terminated by Employer for Cause pursuant to Section 5(b) or by Employee pursuant to Section 5(d) other than for Good Reason, Employee shall thereafter be entitled to the Base Salary and all benefits, including the Additional Benefits, for six months following the effective date of such termination.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648" w:right="60" w:hanging="648"/>
        <w:spacing w:after="0" w:line="253"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Initial Term is terminated (A) due to Employee’s death or Total Disability pursuant to Section 5(a), or (B) by the Employer without Cause pursuant to Section 5(c) or by Employee for Good Reason pursuant to Section 5(d), (x) Employer shall pay to Employee on the date of termination a Base Salary amount equal to the greater of (I) the Base Salary that would have been paid to Employee for the then remainder of the period ending March 31, 2026, as if Employee had continued to employed by the Company through such date, or (II) 12 months of Base Salary, in each case net of any benefits paid to Employee pursuant to any policy of disability insurance maintained by Employer, plus a pro rata portion of Employee’s annual bonus for the fiscal year of the Employer in which such termination occurs at Employee’s maximum bonus percentage then in effect, and (y) Employee shall be entitled to all benefits including the Additional Benefits for the greater of (I) the then remainder of the period ending March 31, 2026, or (II) the 12-month period immediately following Employee’s termination of employment (notwithstanding the foregoing, the benefits described in Item 3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provided through the five-year anniversary of Employee’s termination of employment).</w:t>
      </w:r>
    </w:p>
    <w:p>
      <w:pPr>
        <w:spacing w:after="0" w:line="194" w:lineRule="exact"/>
        <w:rPr>
          <w:rFonts w:ascii="Times New Roman" w:cs="Times New Roman" w:eastAsia="Times New Roman" w:hAnsi="Times New Roman"/>
          <w:sz w:val="18"/>
          <w:szCs w:val="18"/>
          <w:color w:val="auto"/>
        </w:rPr>
      </w:pPr>
    </w:p>
    <w:p>
      <w:pPr>
        <w:ind w:left="648" w:right="100" w:hanging="648"/>
        <w:spacing w:after="0" w:line="254"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Renewal Term is terminated (A) pursuant to Employee’s death or Total Disability pursuant to Section 5(a), or (B) by the Employer without Cause pursuant to Section 5(c) or by Employee with Good Reason pursuant to Section 5(d), (x) Employer shall pay to Employee (or Employee’s estate or designated beneficiaries) on the date of termination the Base Salary due to Employee as if Employee continued to be employed for an additional 12 months following the termination of employment, net of any benefits paid to Employee pursuant to any policy of disability insurance maintained by Employer, plus a pro rata portion of Employee’s annual bonus for the fiscal year of the Employer in which such termination occurs at Employee’s maximum bonus percentage then in effect, and (y) Employee shall be entitled to all benefits including the Additional Benefits for the 12-month period immediately following Employee’s termination of employment (notwithstanding the foregoing, the benefits described in Item 3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provided through the five-year anniversary of Employee’s termination of employment).</w:t>
      </w:r>
    </w:p>
    <w:p>
      <w:pPr>
        <w:spacing w:after="0" w:line="188" w:lineRule="exact"/>
        <w:rPr>
          <w:rFonts w:ascii="Times New Roman" w:cs="Times New Roman" w:eastAsia="Times New Roman" w:hAnsi="Times New Roman"/>
          <w:sz w:val="18"/>
          <w:szCs w:val="18"/>
          <w:color w:val="auto"/>
        </w:rPr>
      </w:pPr>
    </w:p>
    <w:p>
      <w:pPr>
        <w:ind w:left="648" w:right="60" w:hanging="648"/>
        <w:spacing w:after="0" w:line="266"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Change in Control occurs and if within 24 months after a Change in Control, Employee’s employment is either terminated by the Company without Cause or by Employee for Good Reason, Employee shall be entitled to the compensation and benefits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Change in Control Provisions.</w:t>
      </w:r>
    </w:p>
    <w:p>
      <w:pPr>
        <w:spacing w:after="0" w:line="175" w:lineRule="exact"/>
        <w:rPr>
          <w:rFonts w:ascii="Times New Roman" w:cs="Times New Roman" w:eastAsia="Times New Roman" w:hAnsi="Times New Roman"/>
          <w:sz w:val="18"/>
          <w:szCs w:val="18"/>
          <w:color w:val="auto"/>
        </w:rPr>
      </w:pPr>
    </w:p>
    <w:p>
      <w:pPr>
        <w:ind w:left="648" w:hanging="648"/>
        <w:spacing w:after="0" w:line="252"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Equity Vesting Triggering Event occurs, all restricted stock, stock option awards, and any other equity or equity-based awards that have been Granted to Employee shall immediately and fully vest and all such vested stock options grants shall be exercisable by Employee on or before the day which is 39 months from the initial grant date, in the case of stock option grants with three-year vesting, and on or before the day which is 63 months from the initial grant date in the case of stock option grants with five-year vesting, but in no event later than the expiration date as set forth in the applicable stock option award agreement(s). If an Equity Vesting Triggering Event occurs, a pro rata portion of the shares of stock, stock options and other equity or equity-based awards that have then been Conditionally Awarded to Employee shall be immediately Granted utilizing (i) the target level of the performance goals and Management Objectives applicable to such shares of stock, stock options and other equity or equity-based awards for the relevant performance period, except that for any such awards that are based on TSR performance against the Peer Group, achievement of the Peer Group average will be utilized, and (ii) the Closing Stock Price; the proration will account for the number of days that Employee was actually employed during such performance period. The shares of stock, stock options and equity or equity-based awards granted pursuant to the immediately preceding sentence shall immediately and fully vest, such stock options will have an exercise price equal to the Company’s closing stock price on the termination date, and such stock options shall be exercisable by Employee on or before the day which is 39 months from their grant date. Approval of this Agreement by the Company’s Board Compensation Committee shall be deemed approval of the amendments of the restricted stock, stock option and equity or equity-based award grants as provided above for all purposes under the RBC Long-Term Equity Incentive Plans as amended or any subsequent long-term equity incentive plan approved by and on behalf of the Company. The more favorable grant/vesting provisions for Employee contained in this subsection (v) as compared to those contained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shall apply (not on an aggregate basis, but on an award-by-award basis). That is, each award or potential award will be analyzed on an individualized basis to determine whether this subsection (v) provides better treatment than that contained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the better treatment will be provided to Employee (and the award or potential award, as the case may be) whether contained in this subsection (v) or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9" w:name="page10"/>
    <w:bookmarkEnd w:id="9"/>
    <w:p>
      <w:pPr>
        <w:ind w:right="100" w:firstLine="8"/>
        <w:spacing w:after="0" w:line="258" w:lineRule="auto"/>
        <w:tabs>
          <w:tab w:leader="none" w:pos="2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AT WILL EMPLOYMENT, DELIVERY OF RECORDS UPON TERMINATION. Consistent with the Prior Employment Agreement and past practice, upon termination of this Agreement for any reason, the employment of Employee will terminate. Upon termination of the Term, Employee will deliver to Employer all records of research, proposals, reports, memoranda, computer software and programming, budgets and ether financial information, and ether materials or records (including any copies thereof) made, used or obtained by Employee in connection with his employment by Employer and/or any Employer’s Affiliate.</w:t>
      </w:r>
    </w:p>
    <w:p>
      <w:pPr>
        <w:spacing w:after="0" w:line="17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AND COVENANT NOT TO COMPETE.</w:t>
      </w:r>
    </w:p>
    <w:p>
      <w:pPr>
        <w:spacing w:after="0" w:line="229" w:lineRule="exact"/>
        <w:rPr>
          <w:sz w:val="20"/>
          <w:szCs w:val="20"/>
          <w:color w:val="auto"/>
        </w:rPr>
      </w:pPr>
    </w:p>
    <w:p>
      <w:pPr>
        <w:ind w:right="40" w:firstLine="8"/>
        <w:spacing w:after="0" w:line="253"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agrees that, during the Term and thereafter, he will not disclose to any Person, or otherwise use or exploit in competition with Employer or Employer’s Affiliates, any of the proprietary or confidential information or knowledge treated by the Employer or Employer’s Affiliates as confidential, including without limitation, trade secrets, processes, records of research, information included in proposals, reports, methods, processes, techniques, computer software or programming, or budgets or other financial information, regarding Employer or Employer’s Affiliates, its or their business, properties or affairs obtained by him at any time (i) during the Term or (ii) during any employment of Employee with the Employer or any of Employer’s Affiliates prior to the Effective Date (“</w:t>
      </w:r>
      <w:r>
        <w:rPr>
          <w:rFonts w:ascii="Times New Roman" w:cs="Times New Roman" w:eastAsia="Times New Roman" w:hAnsi="Times New Roman"/>
          <w:sz w:val="18"/>
          <w:szCs w:val="18"/>
          <w:u w:val="single" w:color="auto"/>
          <w:color w:val="auto"/>
        </w:rPr>
        <w:t>Prior Employment</w:t>
      </w:r>
      <w:r>
        <w:rPr>
          <w:rFonts w:ascii="Times New Roman" w:cs="Times New Roman" w:eastAsia="Times New Roman" w:hAnsi="Times New Roman"/>
          <w:sz w:val="18"/>
          <w:szCs w:val="18"/>
          <w:color w:val="auto"/>
        </w:rPr>
        <w:t>”), except to the extent required to perform the Services; provided that the foregoing shall not apply to: (A) information in the public domain other than by reason of a violation of this Agreement by Employee, (B) information that Employee is compelled to disclose by operation of law or legal process (so long as Employee provides Employer with prior notice of any such compelled disclosure and an opportunity to defend against such disclosure), (C) information generally known to Employee by reason of his particular expertise that is not specific to the Employer. Nothing in this Agreement shall prohibit Employee from: (i) reporting possible violations of federal law or regulation to any governmental agency or entity or self-regulatory organization or making disclosures that are protected under the whistleblower provisions of any law or regulation; (ii) supplying truthful information to any governmental authority or in response to any lawful subpoena or other legal process; or (iii) receiving an award for information provided to any governmental agency.</w:t>
      </w:r>
    </w:p>
    <w:p>
      <w:pPr>
        <w:spacing w:after="0" w:line="187" w:lineRule="exact"/>
        <w:rPr>
          <w:rFonts w:ascii="Times New Roman" w:cs="Times New Roman" w:eastAsia="Times New Roman" w:hAnsi="Times New Roman"/>
          <w:sz w:val="18"/>
          <w:szCs w:val="18"/>
          <w:color w:val="auto"/>
        </w:rPr>
      </w:pPr>
    </w:p>
    <w:p>
      <w:pPr>
        <w:ind w:right="100" w:firstLine="8"/>
        <w:spacing w:after="0" w:line="25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agrees that during the Term and for a period of two years thereafter (the “</w:t>
      </w:r>
      <w:r>
        <w:rPr>
          <w:rFonts w:ascii="Times New Roman" w:cs="Times New Roman" w:eastAsia="Times New Roman" w:hAnsi="Times New Roman"/>
          <w:sz w:val="18"/>
          <w:szCs w:val="18"/>
          <w:u w:val="single" w:color="auto"/>
          <w:color w:val="auto"/>
        </w:rPr>
        <w:t>Non-Compete Term</w:t>
      </w:r>
      <w:r>
        <w:rPr>
          <w:rFonts w:ascii="Times New Roman" w:cs="Times New Roman" w:eastAsia="Times New Roman" w:hAnsi="Times New Roman"/>
          <w:sz w:val="18"/>
          <w:szCs w:val="18"/>
          <w:color w:val="auto"/>
        </w:rPr>
        <w:t>”), he will not (i) engage in or carry on, directly or indirectly, any Competing Business in any Territory in which such Competing Business is then engaged in by the Employer, (ii) allow his name to be used by any Person engaged in any Competing Business, (iii) invest in, directly or indirectly, any Person engaged in any Competing Business, or (iv) serve as an officer or director, employee, agent, associate or consultant of any Person engaged in a Competing Business (other than Employer or any Employer’s Affiliate). Notwithstanding the foregoing, the Non-Compete Term shall be (x) only for the Term in the event Employee’s employment hereunder is terminated by the Employer hereunder without Cause, (y) for a period of twelve (12) months following such termination by Employee with Good Reason, and (z) for a period through March 31, 2026, for a termination by Employee other than for Good Reason. Subject to Section 2(b), nothing herein shall prohibit Employee from (A) investing in any business that is not a Competing Business or (B) investing in a publicly-held entity if such investment (individually or as part of a group) is limited to not more than five percent (5%) of the outstanding equity issue of such entity.</w:t>
      </w:r>
    </w:p>
    <w:p>
      <w:pPr>
        <w:spacing w:after="0" w:line="18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properties developed by Employee during the Term or during any Prior Employment and that is related to the business (or foreseeable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prospects) of the Employer with which Employee is actively involved shall be for the account of the Employer. Employee agrees to enter into such agreements (including transfer documents) as may be reasonably required by Employer to confirm the foregoing.</w:t>
      </w:r>
    </w:p>
    <w:p>
      <w:pPr>
        <w:spacing w:after="0" w:line="181" w:lineRule="exact"/>
        <w:rPr>
          <w:rFonts w:ascii="Times New Roman" w:cs="Times New Roman" w:eastAsia="Times New Roman" w:hAnsi="Times New Roman"/>
          <w:sz w:val="18"/>
          <w:szCs w:val="18"/>
          <w:color w:val="auto"/>
        </w:rPr>
      </w:pPr>
    </w:p>
    <w:p>
      <w:pPr>
        <w:ind w:firstLine="8"/>
        <w:spacing w:after="0" w:line="255"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not, during the Non-Compete Term, directly or indirectly, solicit or induce or attempt to solicit or induce any affiliate, director, agent, or employee of Employer or contractor then under contract to the Employer, in each case, whom are personally known by Employee and with whom Employee worked while providing the Services during the 12-month period immediately preceding the date of Employee’s termination of employment, to terminate his, her or its employment or other relationship with Employer for the purpose of entering into a similar relationship with any Employer’s competitors or for any other purpose or no purpose. Employee shall not, during the Non-Compete Term, directly or indirectly, solicit or induce or attempt to solicit or induce any customer or supplier of Employer to terminate his, her or its relationship with Employer for the purpose of entering into a similar relationship with any competitors of Employer or Employer’s Affiliates or for any other purpose or no purpose.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60" w:firstLine="8"/>
        <w:spacing w:after="0" w:line="256" w:lineRule="auto"/>
        <w:tabs>
          <w:tab w:leader="none" w:pos="2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(which shall mean Company by authorized statement or its executive officers and the members of the Board), agrees, during the Term and following the date of Employee’s termination of employment, to refrain from Disparaging (as defined below) Employee and his affiliates, either orally or in writing. Nothing in this Section 6(e) shall preclude the Company from making truthful statements that are reasonably necessary to comply with applicable law, regulation or legal process, or to defend or enforce the Company’s rights under this Agreement or any other agreement between the parties. For purposes of this Agreement, “Disparaging” means making remarks, comments or statements, whether written or oral, that impugn the character, integrity, reputation or abilities of the person being disparaged</w:t>
      </w:r>
    </w:p>
    <w:p>
      <w:pPr>
        <w:spacing w:after="0" w:line="187" w:lineRule="exact"/>
        <w:rPr>
          <w:rFonts w:ascii="Times New Roman" w:cs="Times New Roman" w:eastAsia="Times New Roman" w:hAnsi="Times New Roman"/>
          <w:sz w:val="18"/>
          <w:szCs w:val="18"/>
          <w:color w:val="auto"/>
        </w:rPr>
      </w:pPr>
    </w:p>
    <w:p>
      <w:pPr>
        <w:ind w:right="140" w:firstLine="8"/>
        <w:spacing w:after="0" w:line="289" w:lineRule="auto"/>
        <w:tabs>
          <w:tab w:leader="none" w:pos="2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agrees that the remedy at law for any breach by him of any of any of the covenants and agreements set forth in this Section 6 will be inadequate and will cause immediate and irreparable injury to Employer and that in the event of any such breach, Employer, in addition to the other remedies which may be available to it at law, shall be entitled to seek injunctive relief prohibiting him from the breach of such covenants and agreements.</w:t>
      </w:r>
    </w:p>
    <w:p>
      <w:pPr>
        <w:spacing w:after="0" w:line="157" w:lineRule="exact"/>
        <w:rPr>
          <w:rFonts w:ascii="Times New Roman" w:cs="Times New Roman" w:eastAsia="Times New Roman" w:hAnsi="Times New Roman"/>
          <w:sz w:val="17"/>
          <w:szCs w:val="17"/>
          <w:color w:val="auto"/>
        </w:rPr>
      </w:pPr>
    </w:p>
    <w:p>
      <w:pPr>
        <w:jc w:val="both"/>
        <w:ind w:right="220" w:firstLine="8"/>
        <w:spacing w:after="0" w:line="261" w:lineRule="auto"/>
        <w:tabs>
          <w:tab w:leader="none" w:pos="2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that the covenants and agreements contained in this Section 6 shall be deemed to include a series of separate covenants and agreements, one for each and every county of the states in which the Employer does business. If, in any judicial proceeding, the duration or scope of any covenant or agreement of Employee contained in this Section 6 shall be adjudicated to be invalid or unenforceable, the parties agree that this Agreement shall be deemed amended to reduce such duration or scope to the extent necessary to permit enforcement of such covenant or agreement.</w:t>
      </w:r>
    </w:p>
    <w:p>
      <w:pPr>
        <w:spacing w:after="0" w:line="1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Employee was, is or becomes a party to, subject or target of, or witness or other participant in, or is threatened to be made a party to, subject or target of, or witness or other participant in, a claim by reason of (or arising in part out of) Employee’s status as an employee, officer or director acting within the course and scope of employment, office or director responsibility of Employer or any Employer’s Affiliate at any time during the Term, whether such liability is asserted during or after the Term, the Company shall indemnify Employee to the fullest extent permitted by law as soon as practicable but in any event no later than 30 days after written demand is presented to the Company, against any and all expenses, judgments, fines, penalties and amounts paid or payable in settlement (including all interest, assessments and other charges paid or payable in connection with or in respect of such expenses, judgments, fines, penalties or amounts paid or payable in settlement) of such claim. If so requested by Employee, the Company shall advance (within five business days of such request) to Employee any and all expenses (including, without limitation, expenses actually and reasonably billed to or on behalf of the Company) in connection with any such claim, provided that Employee hereby undertakes to repay such amounts advanced if, and to the extent that, it is ultimately determined that Employee is not entitled to be indemnified by the Company pursuant hereto. Additionally, after any termination of Employee’s employment with the Company, for a period through the sixth anniversary of the termination of employment, Employee shall be covered under the Company’s directors and officers insurance coverage for Employee’s acts or omissions while an officer, director, or trustee of the Company on a basis no less favorable to Employee than the coverage generally provided to then-current officers, directors, and/or trustees. Upon written request from Employee to the Company, the Company will provide Employee with notice of any changes to the Company’s directors and officers insurance policies.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and unless the context requires a different meaning, the following terms shall be defined as follows:</w:t>
      </w:r>
    </w:p>
    <w:p>
      <w:pPr>
        <w:spacing w:after="0" w:line="22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“Adjusted Cash” means the Company’s cash as of the end of a given fiscal year adjusted for divestitures and acquisitions occurring in the Three-Year Cycle as follows: (i) cash at the end of such fiscal year minus (ii) cash received from such divestitures plus (iii) cash expended to complete such acquisitions plus</w:t>
      </w:r>
    </w:p>
    <w:p>
      <w:pPr>
        <w:spacing w:after="0" w:line="1" w:lineRule="exact"/>
        <w:rPr>
          <w:sz w:val="20"/>
          <w:szCs w:val="20"/>
          <w:color w:val="auto"/>
        </w:rPr>
      </w:pPr>
    </w:p>
    <w:p>
      <w:pPr>
        <w:ind w:right="160" w:firstLine="8"/>
        <w:spacing w:after="0" w:line="253"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during such Three-Year Cycle to pay interest on debt incurred to complete such acquisitions minus (v) cash of each acquired business as of the closing date of the acquisition minus (vi) cash generated by each acquired business from the closing date of the acquisition through the end of such Three-Year Cycle plus (vii) cash contributed by the Company to each acquired business from the closing date of the acquisition through the end of such Three-Year Cycle.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“Adjusted Debt” means the Company’s debt as of the end of a given fiscal year minus the debt incurred to complete all acquisitions during the Three-Year Cycle.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“Adjusted EBITDA” shall mean the Company’s consolidated operating income for a given fiscal year plus depreciation, amortization and equity-based incentive compensation expense, as adjusted for various unusual or non-recurring items.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“Adjusted Operating Income” shall mean the Company’s operating income for a given fiscal year adjusted to eliminate the effects of Adjustment Items occurring in the Three-Year Cycle and the cumulative effect of tax or accounting changes related to such Adjustment Items, as determined in accordance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Items” means asset impairments, restructurings, acquisitions, divestitures, various unusual or non-recurring items, and plant closing costs.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Base Salary” means, for purposes of cash bonuses and equity awards under Section 3(b), Employee’s annual Base Salary at the end of the relevant performance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then-completed fiscal year in the case of cash bonuses paid pursuant to Section 3(b)(i) and short-term equity awards made pursuant to Section 3(b)(ii), or the end of the third fiscal year of the then-completed Long-Term Performance Period in the case of long-term awards made pursuant to Section 3(b)(iii).</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“Annual Performance Plan” means the Company’s Adjusted EBITDA-based performance plan for any fiscal year, with the performance target being established during such fiscal year by the Compensation Committee after consultation with Employee as the Chief Executive Officer.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“Change in Control” is as defined in the RBC 2021 Long-Term Equity Incentive Plan, as amended, or any subsequent long-term equity incentive plan approved by and on behalf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“Closing Stock Price” with respect to any award of equity pursuant to this Agreement means the average of the closing price of the Common Stock on the New York Stock Exchange for the 180 calendar days immediately prior to the filing of the Company’s Annual Report on Form 10-K that precedes the date of such award, except that for purposes of any equity award made pursuant to Section 5(e)(v) the Closing Stock Price means the average of the closing price of the Common Stock on the New York Stock Exchange for the 180 calendar days immediately prior to the date of the termination that triggers such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“Competing Business” means any business (including, without limitation, research and development) that is carried on by Employer in any material respect, and with which Employee is actively involved, during the Term.</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“Conditionally Awarded” shall mean that certain condition(s) precedent, including, without limitation, performance goals and achievement of Management Objectives (as defined in the Company’s Executive Officer Performance Based Compensation Plan, and incorporated herein), that have been established but must occur before the subject shares of stock, stock options or other equity or equity-based awards are Granted under any compensation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Vesting Triggering Event” means the occurrence of any of the following:</w:t>
      </w:r>
    </w:p>
    <w:p>
      <w:pPr>
        <w:spacing w:after="0" w:line="225" w:lineRule="exact"/>
        <w:rPr>
          <w:sz w:val="20"/>
          <w:szCs w:val="20"/>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of this Agreement due to the Company giving notice of nonrenewal pursuant to Section 1;</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this Agreement pursuant to Section 5(a) upon Employee’s death or Total Disability;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this Agreement by the Employer pursuant to Section 5(c) without Cause;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this Agreement by Employee pursuant to Section 5(d) for Good Reason.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2025” means the Company’s fiscal year ending March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2026” means the Company’s fiscal year ending March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2027” means the Company’s fiscal year ending April 3,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2028” means the Company’s fiscal year ending April 1, 2028.</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t>“Good Reason” shall mean for the 24-month period following a Change in Control any of the following which occur subsequent to the Effective Date without Employee’s express written consent:</w:t>
      </w:r>
    </w:p>
    <w:p>
      <w:pPr>
        <w:spacing w:after="0" w:line="162" w:lineRule="exact"/>
        <w:rPr>
          <w:sz w:val="20"/>
          <w:szCs w:val="20"/>
          <w:color w:val="auto"/>
        </w:rPr>
      </w:pPr>
    </w:p>
    <w:p>
      <w:pPr>
        <w:ind w:left="980" w:right="60" w:hanging="648"/>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reduction in Employee’s title, position, duties, responsibilities and status with the Company inconsistent with Employee’s title, duties, responsibilities and status immediately prior to a change in Employee’s titles or offices, or any removal of Employee from or any failure to reelect Employee to any of such positions, except in connection with the termination of his employment for disability, retirement or Cause or by Employee other than for Good Reason;</w:t>
      </w:r>
    </w:p>
    <w:p>
      <w:pPr>
        <w:spacing w:after="0" w:line="179" w:lineRule="exact"/>
        <w:rPr>
          <w:rFonts w:ascii="Times New Roman" w:cs="Times New Roman" w:eastAsia="Times New Roman" w:hAnsi="Times New Roman"/>
          <w:sz w:val="18"/>
          <w:szCs w:val="18"/>
          <w:color w:val="auto"/>
        </w:rPr>
      </w:pPr>
    </w:p>
    <w:p>
      <w:pPr>
        <w:ind w:left="980" w:right="10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Employee’s principal work location without his consent to a location more than 25 miles from the Company’s headquarters at Oxford, Connecticut;</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provision of this Agreement;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obtain the assumption of this Agreement by any successor or assign of the Company.</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“Granted” shall mean the award of shares of stock, stock options or other equity or equity-based awards to Employee pursuant to any of the Company’s long-term equity incentive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Performance Period” means any three consecutive fiscal years of the Company.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“Long-Term Performance Plan” means the Company’s ROIC-based performance plan for any Long-Term Performance Period, with the performance target established in the first fiscal year of such Long-Term Performance Period by the Compensation Committee after consultation with Employee as the Chief Executive Officer.</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“Peer Group” means, with respect to any Long-Term Performance Period, the Company’s peer group as determined at the start of such Long-Term Performance Period by the Compensation Committee after consultation with Employee as Chief Executive Officer, and set forth in the Company’s proxy statement for the first fiscal year in such Long-Term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means any natural person, partnership, corporation, trust, company or other entity.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“Plan” shall mean the operating plan established by Employee, in his status as Chief Executive Officer of Employer and as approved by the Board within 90 days following the beginning of each fiscal year, as applicable to Employer and as applicable to the determination of bonuses and equity or equity-based awards payable to others of Employer’s employees to the extent such bonuses or equity or equity-based awards are calculated by reference to operating results.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“ROIC” shall mean Adjusted Operating Income divided by equity plus Adjusted Debt less Adjusted Cash.</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“Territory” means the geographical area in which the Employer engages in any business (other than an insignificant amount of business), with which Employee is actively involved, during the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“Three-Year Cycle” means, with respect to any fiscal year, the Long-Term Performance Period that includes such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“TSR” shall mean total shareholder return.</w:t>
      </w:r>
    </w:p>
    <w:p>
      <w:pPr>
        <w:spacing w:after="0" w:line="22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00" w:firstLine="8"/>
        <w:spacing w:after="0" w:line="266" w:lineRule="auto"/>
        <w:tabs>
          <w:tab w:leader="none" w:pos="2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AND WAIVER OF BREACH. No waiver or modification of this Agreement shall be binding unless it is in writing signed by the parties hereto and expressly stating that it is intended to modify this Agreement. No waiver of a breach hereof shall be deemed to constitute a waiver of a future breach, whether of a similar or dissimilar nature.</w:t>
      </w:r>
    </w:p>
    <w:p>
      <w:pPr>
        <w:spacing w:after="0" w:line="175" w:lineRule="exact"/>
        <w:rPr>
          <w:rFonts w:ascii="Times New Roman" w:cs="Times New Roman" w:eastAsia="Times New Roman" w:hAnsi="Times New Roman"/>
          <w:sz w:val="18"/>
          <w:szCs w:val="18"/>
          <w:color w:val="auto"/>
        </w:rPr>
      </w:pPr>
    </w:p>
    <w:p>
      <w:pPr>
        <w:ind w:firstLine="8"/>
        <w:spacing w:after="0" w:line="256"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and other communications required or permitted under this Agreement shall be in writing, served personally on, or made by certified or registered United States mail to, the party to be charged with receipt thereof. Notices and other communications serviced by facsimile (with written confirmation of completed transmission) or email (without receipt of delivery failure message) shall be deemed delivered when transmitted. Notices and other communications served in person shall be deemed delivered when so served. Notices and other communications served by mail shall be deemed delivered hereunder 72 hours after deposit of such notice or communication in the United States Post Office as certified or registered mail with postage prepaid and duly addressed to whom such notice or communications is to be given, in the case of</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RBC Bearings Incorporated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Tribology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Oxford, CT 06478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 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Employee: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last address that the Company has in its personnel records for Employee.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280"/>
        <w:spacing w:after="0" w:line="282" w:lineRule="auto"/>
        <w:rPr>
          <w:sz w:val="20"/>
          <w:szCs w:val="20"/>
          <w:color w:val="auto"/>
        </w:rPr>
      </w:pPr>
      <w:r>
        <w:rPr>
          <w:rFonts w:ascii="Times New Roman" w:cs="Times New Roman" w:eastAsia="Times New Roman" w:hAnsi="Times New Roman"/>
          <w:sz w:val="18"/>
          <w:szCs w:val="18"/>
          <w:color w:val="auto"/>
        </w:rPr>
        <w:t>Any party may change said party’s address for purposes of this Section 9(b) by giving to the party intended to be bound thereby, in the manner provided herein, a written notice of such change.</w:t>
      </w:r>
    </w:p>
    <w:p>
      <w:pPr>
        <w:spacing w:after="0" w:line="162"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w:t>
      </w:r>
    </w:p>
    <w:p>
      <w:pPr>
        <w:spacing w:after="0" w:line="225" w:lineRule="exact"/>
        <w:rPr>
          <w:rFonts w:ascii="Times New Roman" w:cs="Times New Roman" w:eastAsia="Times New Roman" w:hAnsi="Times New Roman"/>
          <w:sz w:val="18"/>
          <w:szCs w:val="18"/>
          <w:color w:val="auto"/>
        </w:rPr>
      </w:pPr>
    </w:p>
    <w:p>
      <w:pPr>
        <w:ind w:left="980" w:hanging="648"/>
        <w:spacing w:after="0" w:line="255"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any amounts payable under this Agreement shall either be exempt from or comply with Section 409A of the Code (including the Treasury regulations and other published guidance relating thereto)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so as not to subject Employee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Employee, and the Company agrees that it will be liable for any additional tax, interest or penalties that may be imposed on Employee by Code Section 409A or damages for failing to comply with Code Section 409A. Any installment payments provided for in this Agreement shall be treated as a series of separate payments for purposes of Code Section 409A.</w:t>
      </w:r>
    </w:p>
    <w:p>
      <w:pPr>
        <w:spacing w:after="0" w:line="188" w:lineRule="exact"/>
        <w:rPr>
          <w:rFonts w:ascii="Times New Roman" w:cs="Times New Roman" w:eastAsia="Times New Roman" w:hAnsi="Times New Roman"/>
          <w:sz w:val="18"/>
          <w:szCs w:val="18"/>
          <w:color w:val="auto"/>
        </w:rPr>
      </w:pPr>
    </w:p>
    <w:p>
      <w:pPr>
        <w:ind w:left="980" w:right="20" w:hanging="648"/>
        <w:spacing w:after="0" w:line="254"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a “specified employee” within the meaning of Treasury Regulation Section 1.409A-1(i) as of the date of Employee’s termination of employment, Employee shall not be entitled to any payment or benefit pursuant to Section 5(e) until the earlier of (i) the date which is six months after Employee’s termination of employment for any reason other than death, or (ii) the date of Employee’s death. The provisions of this Section 9(c)(ii) shall only apply if, and to the extent, required to avoid the imputation of any tax, penalty or interest pursuant to Code Section 409A. Any amounts otherwise payable to Employee upon or in the six-month period following Employee’s termination of employment that are not so paid by reason of this Section 9(c)(ii) shall be paid as soon as practicable (and in all events within 30 days) after the date that is six months after Employee’s termination of employment (or, if earlier, as soon as practicable, and in all events within 30 days, after the date of Employee’s death).</w:t>
      </w:r>
    </w:p>
    <w:p>
      <w:pPr>
        <w:spacing w:after="0" w:line="191" w:lineRule="exact"/>
        <w:rPr>
          <w:rFonts w:ascii="Times New Roman" w:cs="Times New Roman" w:eastAsia="Times New Roman" w:hAnsi="Times New Roman"/>
          <w:sz w:val="18"/>
          <w:szCs w:val="18"/>
          <w:color w:val="auto"/>
        </w:rPr>
      </w:pPr>
    </w:p>
    <w:p>
      <w:pPr>
        <w:ind w:left="980" w:right="200" w:hanging="648"/>
        <w:spacing w:after="0" w:line="258"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benefits or reimbursements pursuant to this Agreement are taxable to Employee, any reimbursement payment due to Employee pursuant to any such provision shall be paid to Employee on or before the last day of Employee’s taxable year following the taxable year in which the related expense was incurred. The benefits and reimbursements pursuant to such provisions are not subject to liquidation or exchange for another benefit and the amount of such benefits and reimbursements that Employee receives in one taxable year shall not affect the amount of such benefits or reimbursements that Employee receives in any other taxable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252" w:hanging="252"/>
        <w:spacing w:after="0"/>
        <w:tabs>
          <w:tab w:leader="none" w:pos="2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GOLDEN PARACHUTE PROVISIONS.</w:t>
      </w:r>
    </w:p>
    <w:p>
      <w:pPr>
        <w:spacing w:after="0" w:line="225" w:lineRule="exact"/>
        <w:rPr>
          <w:rFonts w:ascii="Times New Roman" w:cs="Times New Roman" w:eastAsia="Times New Roman" w:hAnsi="Times New Roman"/>
          <w:sz w:val="18"/>
          <w:szCs w:val="18"/>
          <w:color w:val="auto"/>
        </w:rPr>
      </w:pPr>
    </w:p>
    <w:p>
      <w:pPr>
        <w:ind w:left="972" w:right="40" w:hanging="648"/>
        <w:spacing w:after="0" w:line="253" w:lineRule="auto"/>
        <w:tabs>
          <w:tab w:leader="none" w:pos="9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becomes entitled to receive payments and benefits hereunder or otherwise and such payments and benefits (the “</w:t>
      </w:r>
      <w:r>
        <w:rPr>
          <w:rFonts w:ascii="Times New Roman" w:cs="Times New Roman" w:eastAsia="Times New Roman" w:hAnsi="Times New Roman"/>
          <w:sz w:val="18"/>
          <w:szCs w:val="18"/>
          <w:u w:val="single" w:color="auto"/>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will be subject to the tax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imposed by Section 4999 of the Code, or any similar tax that may hereafter be imposed, the Company shall compute the “Net After-Tax Amount,” and the “Reduced Amount,” and shall adjust the Total Payments as described below. The Net After-Tax Amount shall mean the present value of all amounts payable to Employee hereunder, net of all federal income, excise and employment taxes imposed on Employee by reason of such payments. The Reduced Amount shall mean the largest aggregate amount of the Total Payments that if paid to Employee would result in Employee receiving a Net After-Tax Amount that is equal to or greater than the Net After-Tax Amount that Employee would have received if the Total Payments had been made. If the Company determines that there is a Reduced Amount, the Total Payments will be reduced to the Reduced Amount. Such reduction to the Total Payments shall, to the extent permitted by Section 280G of the Code and does not result in additional taxes under Code Section 409A, be in the order specified by Employee or, if not specified or cannot be specified, be made by first reducing or eliminating any cash severance benefits, then by reducing or eliminating any accelerated vesting of equity awards in the manner that results in the largest amount being paid to Employee and then by reducing or eliminating any other remaining Total Payments, in each case in reverse order beginning with the payments which are to be paid the farthest in time from the date of the transaction triggering the Excise Tax.</w:t>
      </w:r>
    </w:p>
    <w:p>
      <w:pPr>
        <w:spacing w:after="0" w:line="187" w:lineRule="exact"/>
        <w:rPr>
          <w:rFonts w:ascii="Times New Roman" w:cs="Times New Roman" w:eastAsia="Times New Roman" w:hAnsi="Times New Roman"/>
          <w:sz w:val="18"/>
          <w:szCs w:val="18"/>
          <w:color w:val="auto"/>
        </w:rPr>
      </w:pPr>
    </w:p>
    <w:p>
      <w:pPr>
        <w:ind w:left="972" w:hanging="648"/>
        <w:spacing w:after="0" w:line="252" w:lineRule="auto"/>
        <w:tabs>
          <w:tab w:leader="none" w:pos="9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Total Payments that are subject to the Excise Tax and the assumptions to be utilized in respect thereof shall be made by a nationally recognized certified public accounting firm or other professional organization that is recognized as an expert in determinations and calculations for purposes of Section 280G of the Code that is selected by the Board prior to the transaction resulting in the application (or potential application) of Section 280G of the Code for purposes of making the applicable determinations hereunder, which firm shall not, without Employee’s consent, be a firm serving as accountant or auditor for the entities effecting the transaction that results in the application (or potential application) of Section 280G of the Code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The Accounting Firm shall provide detailed supporting calculations both to the Company and Employee. All fees and expenses of the Accounting Firm shall be borne solely by the Company. Any determination by the Accounting Firm shall be binding upon the Company and Employee. If requested by Employee, the Company shall cooperate with Employee in good faith in valuing, and the Accounting Firm shall take into account the value of, services provided or to be provided by Employee (including Employee’s agreeing to refrain from performing services pursuant to a covenant not to compete or similar covenant, before, on or after the date of a change in ownership or control of the Company (within the meaning of Treasury Regulation Section 1.280G-1, Q&amp;A-2(b)) such that payments in respect of such services may be considered reasonable compensation within the meaning of Treasury Regulation Section 1.280G-1, Q&amp;A-9 and Q&amp;A-40 to Q&amp;A-44 and/or exempt from the definition of the term “parachute payment” within the meaning of Treasury Regulation Section 1.280G-1, Q&amp;A-2(a), in accordance with Treasury Regulation Section 1.280G-1, Q&amp;A-5(a)).</w:t>
      </w: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7" w:name="page18"/>
    <w:bookmarkEnd w:id="17"/>
    <w:p>
      <w:pPr>
        <w:ind w:left="-8" w:right="20" w:firstLine="8"/>
        <w:spacing w:after="0" w:line="282" w:lineRule="auto"/>
        <w:tabs>
          <w:tab w:leader="none" w:pos="2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one or more counterparts, each of which shall be deemed an original, but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8" w:right="80" w:firstLine="8"/>
        <w:spacing w:after="0" w:line="266" w:lineRule="auto"/>
        <w:tabs>
          <w:tab w:leader="none" w:pos="2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Except as otherwise expressly provided herein, this Agreement shall be construed in accordance with, and governed by, the internal laws of the State of Connecticut applicable to agreements executed and to be performed in such state without regard to principles of choice of law or conflicts of laws.</w:t>
      </w:r>
    </w:p>
    <w:p>
      <w:pPr>
        <w:spacing w:after="0" w:line="175" w:lineRule="exact"/>
        <w:rPr>
          <w:rFonts w:ascii="Times New Roman" w:cs="Times New Roman" w:eastAsia="Times New Roman" w:hAnsi="Times New Roman"/>
          <w:sz w:val="18"/>
          <w:szCs w:val="18"/>
          <w:color w:val="auto"/>
        </w:rPr>
      </w:pPr>
    </w:p>
    <w:p>
      <w:pPr>
        <w:jc w:val="both"/>
        <w:ind w:left="-8" w:right="240" w:firstLine="8"/>
        <w:spacing w:after="0" w:line="261" w:lineRule="auto"/>
        <w:tabs>
          <w:tab w:leader="none" w:pos="2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AGREEMENT. This Agreement, and its Exhibits and Schedules, together contain the entire agreement between the parties hereto with respect to the subject matter of this Agreement and supersedes all prior and contemporaneous oral and written negotiations, commitments, writings, and understandings with respect to the subject matter of Employee’s relationship with Employer, including the Prior Employment Agreement which is terminated effective as of the Effective Date.</w:t>
      </w:r>
    </w:p>
    <w:p>
      <w:pPr>
        <w:spacing w:after="0" w:line="179" w:lineRule="exact"/>
        <w:rPr>
          <w:rFonts w:ascii="Times New Roman" w:cs="Times New Roman" w:eastAsia="Times New Roman" w:hAnsi="Times New Roman"/>
          <w:sz w:val="18"/>
          <w:szCs w:val="18"/>
          <w:color w:val="auto"/>
        </w:rPr>
      </w:pPr>
    </w:p>
    <w:p>
      <w:pPr>
        <w:ind w:left="-8" w:firstLine="8"/>
        <w:spacing w:after="0" w:line="266" w:lineRule="auto"/>
        <w:tabs>
          <w:tab w:leader="none" w:pos="2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NON-TRANSFERABILITY OF EMPLOYEE’S INTEREST. None of the rights of Employee to receive any form of compensation payable pursuant to this Agreement shall be assignable or transferable. Any attempted assignment, transfer, conveyance, or other disposition of any interest in the rights of Employee hereunder shall be void.</w:t>
      </w:r>
    </w:p>
    <w:p>
      <w:pPr>
        <w:spacing w:after="0" w:line="175" w:lineRule="exact"/>
        <w:rPr>
          <w:rFonts w:ascii="Times New Roman" w:cs="Times New Roman" w:eastAsia="Times New Roman" w:hAnsi="Times New Roman"/>
          <w:sz w:val="18"/>
          <w:szCs w:val="18"/>
          <w:color w:val="auto"/>
        </w:rPr>
      </w:pPr>
    </w:p>
    <w:p>
      <w:pPr>
        <w:ind w:left="-8" w:right="200" w:firstLine="8"/>
        <w:spacing w:after="0" w:line="266" w:lineRule="auto"/>
        <w:tabs>
          <w:tab w:leader="none" w:pos="2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The provisions of this Agreement which are expressly intended to survive following the end of the Term, any termination of this Agreement, and any termination of Employee’s employment with the Company, in each case, will survive, solely to the extent necessary to carry out the express terms of such provisions.</w:t>
      </w:r>
    </w:p>
    <w:p>
      <w:pPr>
        <w:spacing w:after="0" w:line="17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337"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first above written.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EMPLOYEE: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Michael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MICHAEL J. HARTNETT, PH.D.</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EMPLOYER: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RBC BEARINGS INCORPORATED</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/s/ Dolores J. Ennico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Dolores J. Ennico, Director</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[Signature Page to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BENEFITS</w:t>
      </w:r>
    </w:p>
    <w:p>
      <w:pPr>
        <w:spacing w:after="0" w:line="229" w:lineRule="exact"/>
        <w:rPr>
          <w:sz w:val="20"/>
          <w:szCs w:val="20"/>
          <w:color w:val="auto"/>
        </w:rPr>
      </w:pPr>
    </w:p>
    <w:p>
      <w:pPr>
        <w:jc w:val="center"/>
        <w:ind w:right="460" w:firstLine="8"/>
        <w:spacing w:after="0" w:line="312" w:lineRule="auto"/>
        <w:tabs>
          <w:tab w:leader="none" w:pos="1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shall be reimbursed by Employer, as valued, determined and approved by the Vice President and Chief Financial Officer, for personal expenses up to a total of $50,000 in any fiscal year. Such personal expenses may include, but not be limited to, use of the Employer’s aircraft facility.</w:t>
      </w:r>
    </w:p>
    <w:p>
      <w:pPr>
        <w:spacing w:after="0" w:line="139" w:lineRule="exact"/>
        <w:rPr>
          <w:rFonts w:ascii="Times New Roman" w:cs="Times New Roman" w:eastAsia="Times New Roman" w:hAnsi="Times New Roman"/>
          <w:sz w:val="17"/>
          <w:szCs w:val="17"/>
          <w:color w:val="auto"/>
        </w:rPr>
      </w:pPr>
    </w:p>
    <w:p>
      <w:pPr>
        <w:ind w:right="100" w:firstLine="8"/>
        <w:spacing w:after="0" w:line="258"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in connection with Employee working in Florida (at Employee’s choice) and upon Employee’s annual election, Employee may (i) use the Company’s corporate aircraft up to 20 hours per year of flight time for non-business travel (for the avoidance of doubt, Employee shall not be required to reimburse the Company for the cost of the travel, but the cost of such travel will be imputed as income to Employee based on the standard industry fare level (SIFL) rates to the extent required by applicable laws) or (ii) receive a $120,000 per year allowance for private aircraft operating expenses.</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Employer’s expense: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Medical Coverage ($15,000 per year supplemental coverage);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Dental insurance;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coverage.</w:t>
      </w: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above medical, dental and prescription drug coverage benefits are subject to change at any time at the discretion of the Board; provided that such coverages provided to Employee shall at all times be at least as beneficial to Employee as are the coverages provided to other of Employer’s executive employees and shall always be fully paid by the Employer.</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above medical, dental and prescription drug coverage shall be in addition to Employee’s participation in any medical, hospitalization of related coverage maintained by Employer for the benefit of all its employees.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any plan pursuant to which such benefits are provided (x) is not, or ceases to be, exempt from the application of Code Section 409A, (y) the Company is otherwise unable to continue to cover Employee or Employee’s dependents under its group health plans, or (z) the Company cannot provide the benefit without violating applicable law, then, in any such case, the Company shall thereafter pay to Employee a monthly allowance, paid on the first regular Company payroll date of each month (subject to Section 9(c)(ii) of the Agreement), equal to the value of the Employer contribution for coverage.</w:t>
      </w:r>
    </w:p>
    <w:p>
      <w:pPr>
        <w:spacing w:after="0" w:line="180" w:lineRule="exact"/>
        <w:rPr>
          <w:sz w:val="20"/>
          <w:szCs w:val="20"/>
          <w:color w:val="auto"/>
        </w:rPr>
      </w:pPr>
    </w:p>
    <w:p>
      <w:pPr>
        <w:jc w:val="both"/>
        <w:ind w:right="40" w:firstLine="8"/>
        <w:spacing w:after="0" w:line="282" w:lineRule="auto"/>
        <w:tabs>
          <w:tab w:leader="none" w:pos="1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Employer’s expense, disability insurance at least as beneficial to Employee as the disability insurance provided for Employee immediately preceding the Effective Date of this Agreement, provided that within that limitation, such insurance may be modified from time to time at the discretion of the Board.</w:t>
      </w:r>
    </w:p>
    <w:p>
      <w:pPr>
        <w:spacing w:after="0" w:line="161" w:lineRule="exact"/>
        <w:rPr>
          <w:rFonts w:ascii="Times New Roman" w:cs="Times New Roman" w:eastAsia="Times New Roman" w:hAnsi="Times New Roman"/>
          <w:sz w:val="18"/>
          <w:szCs w:val="18"/>
          <w:color w:val="auto"/>
        </w:rPr>
      </w:pPr>
    </w:p>
    <w:p>
      <w:pPr>
        <w:ind w:right="180" w:firstLine="8"/>
        <w:spacing w:after="0" w:line="266" w:lineRule="auto"/>
        <w:tabs>
          <w:tab w:leader="none" w:pos="1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shall maintain an appropriate apartment or other dwelling in Los Angeles for use by Employee throughout the Term. The parties acknowledge that “appropriate” shall mean of at least the quality and convenience of the dwelling maintained for this purpose immediately preceding the Effective Date of this Agreement.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be provided six weeks of paid vacation for each 12-month period during the Term, to accrue pro rata during the course of each such 12-month period. Employee will not be compensated for unused vacation time on termination if not used during the Term.</w:t>
      </w:r>
    </w:p>
    <w:p>
      <w:pPr>
        <w:spacing w:after="0" w:line="161" w:lineRule="exact"/>
        <w:rPr>
          <w:rFonts w:ascii="Times New Roman" w:cs="Times New Roman" w:eastAsia="Times New Roman" w:hAnsi="Times New Roman"/>
          <w:sz w:val="18"/>
          <w:szCs w:val="18"/>
          <w:color w:val="auto"/>
        </w:rPr>
      </w:pPr>
    </w:p>
    <w:p>
      <w:pPr>
        <w:ind w:firstLine="8"/>
        <w:spacing w:after="0" w:line="258"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have unrestricted use of an appropriate automobile throughout the Term at the Employer’s expense, including without limitation, fuel, insurance, maintenance and repair. When this Agreement expires or otherwise terminates, Employee shall have the option to assume the lease or purchase the vehicle for its book value as of such Termination date, such option to be exercised within two months of said termination date. The parties acknowledge that “appropriate” shall mean of at least the quality and convenience of the automobile used for this purpose immediately preceding the Effective Date of this Agreement.</w:t>
      </w:r>
    </w:p>
    <w:p>
      <w:pPr>
        <w:spacing w:after="0" w:line="18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Employee shall have the option of purchasing the condominium owned by the Company at 22432 Manacor, Mission Viejo, California, for a price equal to the Company’s then current book value.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IN CONTROL PROVISIONS</w:t>
      </w:r>
    </w:p>
    <w:p>
      <w:pPr>
        <w:spacing w:after="0" w:line="229" w:lineRule="exact"/>
        <w:rPr>
          <w:sz w:val="20"/>
          <w:szCs w:val="20"/>
          <w:color w:val="auto"/>
        </w:rPr>
      </w:pPr>
    </w:p>
    <w:p>
      <w:pPr>
        <w:ind w:right="160" w:firstLine="8"/>
        <w:spacing w:after="0" w:line="26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 Change in Control occurs and if within 24 months after a Change in Control, Employee’s employment is either terminated by the Company without Cause or by Employee for Good Reason, the Company will pay to Employee on Employee’s date of termination a single lump sum cash payment equal to the sum of:</w:t>
      </w:r>
    </w:p>
    <w:p>
      <w:pPr>
        <w:spacing w:after="0" w:line="17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unused vacation and any annual bonus applicable to a completed fiscal year, which have not yet been paid to Employee through the date of termination;</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equal to Employee’s Annual Base Salary applicable to Employee on Employee’s termination date, multiplied by Employee’s maximum bonus percentage then in effect and prorated to account for the number of days Employee was employed by the Company during the fiscal year in which Employee was terminated.</w:t>
      </w:r>
    </w:p>
    <w:p>
      <w:pPr>
        <w:spacing w:after="0" w:line="175"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equal to the sum of (i) 250% of Employee’s Annual Base Salary, and (ii) 250% of Employee’s Target Bonus in effect on such date. “Target Bonus” shall mean the amount payable under all annual incentive compensation plans of the Company (including, for the avoidance of doubt, with respect to the short-term equity awards) in which Employee participates, waiving any condition precedent to the payment (and vesting, as applicable) to Employee and assuming that the performance goals for the period were achieved at the 100% level.</w:t>
      </w:r>
    </w:p>
    <w:p>
      <w:pPr>
        <w:spacing w:after="0" w:line="179"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reimbursement for all documented expenses, up to $15,000, actually incurred by Employee for professional outplacement services within three months after Employee’s termination date.</w:t>
      </w:r>
    </w:p>
    <w:p>
      <w:pPr>
        <w:spacing w:after="0" w:line="162" w:lineRule="exact"/>
        <w:rPr>
          <w:sz w:val="20"/>
          <w:szCs w:val="20"/>
          <w:color w:val="auto"/>
        </w:rPr>
      </w:pPr>
    </w:p>
    <w:p>
      <w:pPr>
        <w:jc w:val="both"/>
        <w:ind w:right="40" w:firstLine="656"/>
        <w:spacing w:after="0" w:line="261" w:lineRule="auto"/>
        <w:tabs>
          <w:tab w:leader="none" w:pos="9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18-month period following the termination of Employee’s employment, the Company (or the subsidiary that employed Employee) will continue to provide coverage and participation to Employee at the same participation, coverage and benefit levels (or will provide their equivalent) and pay the full cost of coverage and participation under the employee health and other welfare plans maintained by the Company and applicable to Employee on Employee’s termination date.</w:t>
      </w:r>
    </w:p>
    <w:p>
      <w:pPr>
        <w:spacing w:after="0" w:line="179" w:lineRule="exact"/>
        <w:rPr>
          <w:rFonts w:ascii="Times New Roman" w:cs="Times New Roman" w:eastAsia="Times New Roman" w:hAnsi="Times New Roman"/>
          <w:sz w:val="18"/>
          <w:szCs w:val="18"/>
          <w:color w:val="auto"/>
        </w:rPr>
      </w:pPr>
    </w:p>
    <w:p>
      <w:pPr>
        <w:ind w:firstLine="656"/>
        <w:spacing w:after="0" w:line="255" w:lineRule="auto"/>
        <w:tabs>
          <w:tab w:leader="none" w:pos="89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 Change in Control, Employee will completely vest in all restricted stock, stock options and any other equity or equity-based awards that have been granted to Employee. Approval of this Agreement by the Compensation Committee shall be deemed approval of the vesting of restricted stock, stock options and any other equity or equity-based awards as provided in the immediately preceding sentence for all purposes under the RBC 2013 Long-Term Equity Incentive Plan, RBC 2017 Long-Term Equity Incentive Plan or RBC 2021 Long-Term Equity Incentive Plan, each as amended, or any subsequent long-term equity incentive plan approved by and on behalf of the Company. All stock options that have been granted to Employee will additionally be exercisable by Employee for a period of 18 months following the termination of Employee’s employment, but in no event later than the expiration date as set forth in the applicable stock option award agreement(s).</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paid under these Change in Control provisions shall be subject to applicable tax withholding.</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9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exchange for and prior to receipt of these benefits Employee agrees to execute and deliver to the Company a general release agreement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the specified period during which such release may be returned and become effective spans two calendar years, any payments conditioned upon the execution of the release shall not be paid earlier than the first day of the second calendar year.</w:t>
      </w:r>
    </w:p>
    <w:p>
      <w:pPr>
        <w:spacing w:after="0" w:line="175" w:lineRule="exact"/>
        <w:rPr>
          <w:rFonts w:ascii="Times New Roman" w:cs="Times New Roman" w:eastAsia="Times New Roman" w:hAnsi="Times New Roman"/>
          <w:sz w:val="18"/>
          <w:szCs w:val="18"/>
          <w:color w:val="auto"/>
        </w:rPr>
      </w:pPr>
    </w:p>
    <w:p>
      <w:pPr>
        <w:ind w:right="320" w:firstLine="8"/>
        <w:spacing w:after="0" w:line="266"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in the event a third party (a) begins a tender or exchange offer; (b) circulates a proxy to stockholders; or (c) takes other steps to effect a Change in Control, Employee will not voluntarily terminate employment with the Company (or the subsidiary that employs Employee) unless Employee provides at least three months prior written notice to the Board.</w:t>
      </w:r>
    </w:p>
    <w:p>
      <w:pPr>
        <w:spacing w:after="0" w:line="175" w:lineRule="exact"/>
        <w:rPr>
          <w:rFonts w:ascii="Times New Roman" w:cs="Times New Roman" w:eastAsia="Times New Roman" w:hAnsi="Times New Roman"/>
          <w:sz w:val="18"/>
          <w:szCs w:val="18"/>
          <w:color w:val="auto"/>
        </w:rPr>
      </w:pPr>
    </w:p>
    <w:p>
      <w:pPr>
        <w:ind w:right="80" w:firstLine="8"/>
        <w:spacing w:after="0" w:line="261"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dies prior to the time all payments due to Employee under these Change in Control provisions have been made, then as soon as practicable after Employee’s death (but in no event later than one month after), the Company shall pay in a lump sum all sums not paid to Employee prior to Employee’s death. Payment shall be made to Employee’s designated beneficiary or beneficiaries named under the 401(k) plan maintained by the Company on the date of Employee death. If no such beneficiary is named, such sums shall be paid to Employee’s estate.</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pursuant to these Change in Control provisions are subject to Section 9(c) of the Agreement.</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(including this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once the Company has entered into a binding agreement to effectuate a Change in Control and prior to the consummation of such Change in Control, the Company shall use its best efforts to negotiate a new agreement with the Employee that will: (x) provide at least as favorable compensation and benefits as set forth in this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(including, for the avoidance of doubt, taking into account Section 5(e)(v) of this Agreement), (y) not require Employee to be employed by the Company (or any of its affiliates) for longer than 60 days following the consummation of the Change in Control and (z) become effective upon the consummation of the Change in Control.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 AND POTENTIAL CLAIMS</w:t>
      </w:r>
    </w:p>
    <w:p>
      <w:pPr>
        <w:spacing w:after="0" w:line="229" w:lineRule="exact"/>
        <w:rPr>
          <w:sz w:val="20"/>
          <w:szCs w:val="20"/>
          <w:color w:val="auto"/>
        </w:rPr>
      </w:pPr>
    </w:p>
    <w:p>
      <w:pPr>
        <w:ind w:left="-20" w:firstLine="656"/>
        <w:spacing w:after="0" w:line="261" w:lineRule="auto"/>
        <w:tabs>
          <w:tab w:leader="none" w:pos="8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of Claims and Potential Claims (this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is entered into by and between Michael J. Hartnett, Ph.D.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RBC Bearings Incorporated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Employee and the Company have previously entered into an Amended and Restated Employment Agreement dated May 23, 2024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In consideration of the promises made herein and the consideration due Employee under the Employment Agreement, this Release is entered into between the parties.</w:t>
      </w:r>
    </w:p>
    <w:p>
      <w:pPr>
        <w:spacing w:after="0" w:line="179" w:lineRule="exact"/>
        <w:rPr>
          <w:rFonts w:ascii="Times New Roman" w:cs="Times New Roman" w:eastAsia="Times New Roman" w:hAnsi="Times New Roman"/>
          <w:sz w:val="18"/>
          <w:szCs w:val="18"/>
          <w:color w:val="auto"/>
        </w:rPr>
      </w:pPr>
    </w:p>
    <w:p>
      <w:pPr>
        <w:ind w:left="-20" w:right="180" w:firstLine="656"/>
        <w:spacing w:after="0" w:line="282" w:lineRule="auto"/>
        <w:tabs>
          <w:tab w:leader="none" w:pos="8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in consideration of the promises and covenants made by Employee to the Company and the Company to Employee, contained herein, Employee and the Company have agreed and do agree as follows:</w:t>
      </w:r>
    </w:p>
    <w:p>
      <w:pPr>
        <w:spacing w:after="0" w:line="162" w:lineRule="exact"/>
        <w:rPr>
          <w:sz w:val="20"/>
          <w:szCs w:val="20"/>
          <w:color w:val="auto"/>
        </w:rPr>
      </w:pPr>
    </w:p>
    <w:p>
      <w:pPr>
        <w:ind w:left="-20" w:right="20" w:firstLine="656"/>
        <w:spacing w:after="0" w:line="251"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on behalf of Employee, Employee’s heirs, successors, representatives, assigns, attorneys, agents, executors and administrators (the “</w:t>
      </w:r>
      <w:r>
        <w:rPr>
          <w:rFonts w:ascii="Times New Roman" w:cs="Times New Roman" w:eastAsia="Times New Roman" w:hAnsi="Times New Roman"/>
          <w:sz w:val="18"/>
          <w:szCs w:val="18"/>
          <w:u w:val="single" w:color="auto"/>
          <w:color w:val="auto"/>
        </w:rPr>
        <w:t>Employee Releasors</w:t>
      </w:r>
      <w:r>
        <w:rPr>
          <w:rFonts w:ascii="Times New Roman" w:cs="Times New Roman" w:eastAsia="Times New Roman" w:hAnsi="Times New Roman"/>
          <w:sz w:val="18"/>
          <w:szCs w:val="18"/>
          <w:color w:val="auto"/>
        </w:rPr>
        <w:t>”), hereby irrevocably and unconditionally releases, acquits, and forever discharges the Company, its present, past and future owners, affiliates, related business entities, parent companies, subsidiaries, predecessors, successors, assigns and divisions, together with their respective directors, officers, trustees, members, employees, stockholders, representatives, insurers, attorneys, in their individual and representative capacities, and all persons acting by, through, under, or in concert with any of these (hereinafter collectively referred to as “</w:t>
      </w:r>
      <w:r>
        <w:rPr>
          <w:rFonts w:ascii="Times New Roman" w:cs="Times New Roman" w:eastAsia="Times New Roman" w:hAnsi="Times New Roman"/>
          <w:sz w:val="18"/>
          <w:szCs w:val="18"/>
          <w:u w:val="single" w:color="auto"/>
          <w:color w:val="auto"/>
        </w:rPr>
        <w:t>Company Releasees</w:t>
      </w:r>
      <w:r>
        <w:rPr>
          <w:rFonts w:ascii="Times New Roman" w:cs="Times New Roman" w:eastAsia="Times New Roman" w:hAnsi="Times New Roman"/>
          <w:sz w:val="18"/>
          <w:szCs w:val="18"/>
          <w:color w:val="auto"/>
        </w:rPr>
        <w:t>”), from any and all charges, complaints, claims, liabilities, obligations, suits, demands, costs, losses, debts and expenses to the extent they relate to Employee’s employment, including, but not limited to, the Age Discrimination in Employment Act of 1967, 29 U.S.C. § 621 et seq.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xml:space="preserve">”); the Older Worker Benefits Protection Act of 1990; Title VII of the Civil Rights Act of 1964, 42 U.S.C. § 2000e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Pregnancy Discrimination Act of 1978, 42 U.S.C. § 2000e(k); the Civil Rights Act of 1991, Pub. L. No. 102-166, 105 Stat. 1071 (1991); 42 U.S.C. § 1981; the Fair Labor Standards Act, 29 U.S.C. § 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National Labor Relations Act, 29 U.S.C. § 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Equal Pay Act of 1963, 29 U.S.C. § 206(d); the Employee Retirement Income Security Act of 1974, 29 U.S.C. § 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the Rehabilitation Act of 1973, 29 U.S.C. § 791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Americans with Disabilities Act of 1990, 42 U.S.C. § 12101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Family and Medical Leave Act of 1993, 29 U.S.C. § 2601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under any and all other federal, state and local equal employment,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and civil or human rights laws (whether statutory, regulatory or decisional); under the statutory, regulatory or common law of any jurisdiction, including, but not limited to, any and all tort claims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assault; battery; false imprisonment; defamation; intentional infliction of emotional distress; negligent infliction of emotional distress; wrongful termination; negligent hiring, supervision and/or retention; conversion; interference with contract; abusive discharge; and/or loss of consortium, companionship, services or society), any and all contract claims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breach of contract, fraud, and/or breach of covenant of good faith and fair dealing) and under any and all applicable federal, state and local laws. Employee acknowledges that Employee may discover facts or law different from, or in addition to, the facts or law Employee knows or believes to exist with respect to a released claim. Employee agrees, nonetheless, that this Release shall be and remain effective in all respects notwithstanding such different or additional facts or law. Notwithstanding the foregoing, this Release does not extend to (i) any claims that cannot be waived as a matter of law; (ii) any claims for the payments and benefits due under this Release or claims to enforce rights that accrue under this Release following the date of Employee’s termination of employment; (iii) any claims or rights to any vested benefits or vested rights that Employee may have under any Company employee benefit plans, programs or arrangements; (iv) non-termination related claims under ERISA; (v) any rights and/or claims under the Consolidated Omnibus Budget Reconciliation Act of 1985 (“COBRA”) to elect continued group health plan coverage; (vi) rights, if any, to defense and indemnification from the Company or its insurers pursuant to Section 7 of the Employment Agreement; (vii) any right Employee may have at law to obtain contribution as permitted by law in the event of entry of judgment against Employee as a result of any act or failure to act for which Employee and the Company or its past, present and future trustees, officers, agents, administrators, representatives, employees, affiliates, or insurers are held jointly liable; (viii) any right Employee may have pursuant to any Directors &amp; Officers, Errors &amp; Omissions, Umbrella or General Liability, or any other insurance policy or coverage provided or maintained by the Company or its subsidiaries, affiliates or predecessors; and (ix) any claims or rights that Employee may have as a stockholder of the Company. Employee specifically releases all claims under the ADEA relating to Employee’s employment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22" w:name="page23"/>
    <w:bookmarkEnd w:id="22"/>
    <w:p>
      <w:pPr>
        <w:ind w:left="-656" w:right="20" w:firstLine="889"/>
        <w:spacing w:after="0" w:line="254" w:lineRule="auto"/>
        <w:tabs>
          <w:tab w:leader="none" w:pos="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the Company Releasees (the “</w:t>
      </w:r>
      <w:r>
        <w:rPr>
          <w:rFonts w:ascii="Times New Roman" w:cs="Times New Roman" w:eastAsia="Times New Roman" w:hAnsi="Times New Roman"/>
          <w:sz w:val="18"/>
          <w:szCs w:val="18"/>
          <w:u w:val="single" w:color="auto"/>
          <w:color w:val="auto"/>
        </w:rPr>
        <w:t>Company Releasors</w:t>
      </w:r>
      <w:r>
        <w:rPr>
          <w:rFonts w:ascii="Times New Roman" w:cs="Times New Roman" w:eastAsia="Times New Roman" w:hAnsi="Times New Roman"/>
          <w:sz w:val="18"/>
          <w:szCs w:val="18"/>
          <w:color w:val="auto"/>
        </w:rPr>
        <w:t>”), hereby irrevocably and unconditionally releases, acquits, and forever discharges Employee and the Employee Releasors (the “</w:t>
      </w:r>
      <w:r>
        <w:rPr>
          <w:rFonts w:ascii="Times New Roman" w:cs="Times New Roman" w:eastAsia="Times New Roman" w:hAnsi="Times New Roman"/>
          <w:sz w:val="18"/>
          <w:szCs w:val="18"/>
          <w:u w:val="single" w:color="auto"/>
          <w:color w:val="auto"/>
        </w:rPr>
        <w:t>Employee Releasees</w:t>
      </w:r>
      <w:r>
        <w:rPr>
          <w:rFonts w:ascii="Times New Roman" w:cs="Times New Roman" w:eastAsia="Times New Roman" w:hAnsi="Times New Roman"/>
          <w:sz w:val="18"/>
          <w:szCs w:val="18"/>
          <w:color w:val="auto"/>
        </w:rPr>
        <w:t>”), from any and all charges, complaints, claims, liabilities, obligations, suits, demands, costs, losses, debts and expenses of any kind whatsoever, whether known or unknown, which any Company Releasor ever had, now has, or may have against any of the Employee Releasees by reason of any act, omission, transaction, practice, plan, policy, procedure, conduct, occurrence, or other matter, up to and including the date this Release is signed by Employee, including without limitation all claims related to Employee’s employment with the Company and its affiliates, compensation therefore and the termination of Employee’s employment with the Company, other than claims that cannot be waived as a matter of law. Nothing in this Release will prohibit Company Releasors from bringing an action against Employee for willful misconduct or acts in violation of the law including embezzlement, fraud and theft.</w:t>
      </w:r>
    </w:p>
    <w:p>
      <w:pPr>
        <w:spacing w:after="0" w:line="191" w:lineRule="exact"/>
        <w:rPr>
          <w:rFonts w:ascii="Times New Roman" w:cs="Times New Roman" w:eastAsia="Times New Roman" w:hAnsi="Times New Roman"/>
          <w:sz w:val="18"/>
          <w:szCs w:val="18"/>
          <w:color w:val="auto"/>
        </w:rPr>
      </w:pPr>
    </w:p>
    <w:p>
      <w:pPr>
        <w:ind w:left="-656" w:firstLine="656"/>
        <w:spacing w:after="0" w:line="256"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that Employee has not relied upon any advice whatsoever from the Company and/or its attorneys individually and/or collectively as to the taxability, whether pursuant to federal, state or local income tax statutes or regulations, or otherwise, of the consideration transferred hereunder and that he will be solely liable for all of his tax obligations. Employee understands and agrees that the Company or its subsidiaries, affiliates or predecessors, may be required by law to report all or a portion of the amounts paid to him and/or his attorney in connection with this Release to federal and state taxing authorities. Employee waives, releases, forever discharges and agrees to indemnify, defend and hold the Company harmless with respect to any actual or potential tax obligations imposed by law.</w:t>
      </w:r>
    </w:p>
    <w:p>
      <w:pPr>
        <w:spacing w:after="0" w:line="187" w:lineRule="exact"/>
        <w:rPr>
          <w:rFonts w:ascii="Times New Roman" w:cs="Times New Roman" w:eastAsia="Times New Roman" w:hAnsi="Times New Roman"/>
          <w:sz w:val="18"/>
          <w:szCs w:val="18"/>
          <w:color w:val="auto"/>
        </w:rPr>
      </w:pPr>
    </w:p>
    <w:p>
      <w:pPr>
        <w:ind w:left="-656" w:right="160" w:firstLine="656"/>
        <w:spacing w:after="0" w:line="266"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if the facts with respect to which this Release are based are found hereafter to be other than or different from the facts now believed by him to be true, he expressly accepts and assumes the risk of such possible difference in facts and agrees that this Release shall be and remain effective notwithstanding such difference in facts.</w:t>
      </w:r>
    </w:p>
    <w:p>
      <w:pPr>
        <w:spacing w:after="0" w:line="175" w:lineRule="exact"/>
        <w:rPr>
          <w:rFonts w:ascii="Times New Roman" w:cs="Times New Roman" w:eastAsia="Times New Roman" w:hAnsi="Times New Roman"/>
          <w:sz w:val="18"/>
          <w:szCs w:val="18"/>
          <w:color w:val="auto"/>
        </w:rPr>
      </w:pPr>
    </w:p>
    <w:p>
      <w:pPr>
        <w:ind w:left="-656" w:right="140" w:firstLine="656"/>
        <w:spacing w:after="0" w:line="266"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there is a risk that the damage and/or injury suffered by Employee may become more serious than he now expects or anticipates. Employee expressly accepts and assumes this risk, and agrees that this Release shall be and remains effective notwithstanding any such misunderstanding as to the seriousness of said injuries or damage.</w:t>
      </w:r>
    </w:p>
    <w:p>
      <w:pPr>
        <w:spacing w:after="0" w:line="175" w:lineRule="exact"/>
        <w:rPr>
          <w:rFonts w:ascii="Times New Roman" w:cs="Times New Roman" w:eastAsia="Times New Roman" w:hAnsi="Times New Roman"/>
          <w:sz w:val="18"/>
          <w:szCs w:val="18"/>
          <w:color w:val="auto"/>
        </w:rPr>
      </w:pPr>
    </w:p>
    <w:p>
      <w:pPr>
        <w:ind w:left="-656" w:right="100" w:firstLine="656"/>
        <w:spacing w:after="0" w:line="258" w:lineRule="auto"/>
        <w:tabs>
          <w:tab w:leader="none" w:pos="1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understands and agrees that if the party hereafter commences any suit arising out of, based upon or relating to any of the claims and potential claims for relief, cause of action and liability of any and every kind, nature and character whatsoever, known or unknown, the party has released herein, such party agrees to pay the Company Releasees or Employee Releasees, as applicable, and each of them, in addition to any other damages caused to the Company Releasees or Employee Releasees, as applicable, thereby, all attorneys’ fees incurred by the Company Releasees or Employee Releasees, as applicable, in defending or otherwise responding to said suit.</w:t>
      </w:r>
    </w:p>
    <w:p>
      <w:pPr>
        <w:spacing w:after="0" w:line="183" w:lineRule="exact"/>
        <w:rPr>
          <w:rFonts w:ascii="Times New Roman" w:cs="Times New Roman" w:eastAsia="Times New Roman" w:hAnsi="Times New Roman"/>
          <w:sz w:val="18"/>
          <w:szCs w:val="18"/>
          <w:color w:val="auto"/>
        </w:rPr>
      </w:pPr>
    </w:p>
    <w:p>
      <w:pPr>
        <w:ind w:left="-656" w:right="80" w:firstLine="656"/>
        <w:spacing w:after="0" w:line="289" w:lineRule="auto"/>
        <w:tabs>
          <w:tab w:leader="none" w:pos="17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further understood and agreed that this Release shall be binding upon and will inure to the benefit of Employee’s spouse, heirs, successors, assigns, agents, employees, representatives, executors and administrators and shall be binding upon and will inure to the benefit of the individual and/or collective successors and assigns of the Company Releasees, the Employee Releasees, and their successors, assigns, agents and/or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403225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23" w:name="page24"/>
    <w:bookmarkEnd w:id="23"/>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shall be construed in accordance with and governed for all purposes by the laws of the State of Connecticut.</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 of this Release is found to be either invalid or unenforceable, the remaining portions of this Release will still be valid.</w:t>
      </w:r>
    </w:p>
    <w:p>
      <w:pPr>
        <w:spacing w:after="0" w:line="225" w:lineRule="exact"/>
        <w:rPr>
          <w:rFonts w:ascii="Times New Roman" w:cs="Times New Roman" w:eastAsia="Times New Roman" w:hAnsi="Times New Roman"/>
          <w:sz w:val="18"/>
          <w:szCs w:val="18"/>
          <w:color w:val="auto"/>
        </w:rPr>
      </w:pPr>
    </w:p>
    <w:p>
      <w:pPr>
        <w:ind w:left="-656" w:firstLine="656"/>
        <w:spacing w:after="0" w:line="254"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is intended to release and discharge any claims of Employee under the Age Discrimination and Employment Act. To satisfy the requirements of the Older Workers’ Benefit Protection Act, 29 U.S.C. section 626(f), the parties agree as follows: (a) Employee acknowledges that he has read and understands the terms of this Release; (b) Employee acknowledges that he has been advised in writing to consult with an attorney, if desired, concerning this Release and has received all advice he deems necessary concerning this Release; (c) Employee acknowledges that he has been given 21 days to consider whether or not to enter into this Release, has taken as much of this time as necessary to consider whether to enter into this Release, and has chosen to enter into this Release freely, knowingly and voluntarily; and (d) for a seven day period following the execution of this Release, Employee may revoke this Release by delivering a written revocation to at the Company and this Release shall not become effective and enforceable until the revocation period has expired. For the avoidance of doubt, Employee’s revocation of this Release will nullify all the terms of this Release including the release given by the Company Releasors pursuant to Section 2(b).</w:t>
      </w:r>
    </w:p>
    <w:p>
      <w:pPr>
        <w:spacing w:after="0" w:line="188" w:lineRule="exact"/>
        <w:rPr>
          <w:rFonts w:ascii="Times New Roman" w:cs="Times New Roman" w:eastAsia="Times New Roman" w:hAnsi="Times New Roman"/>
          <w:sz w:val="18"/>
          <w:szCs w:val="18"/>
          <w:color w:val="auto"/>
        </w:rPr>
      </w:pPr>
    </w:p>
    <w:p>
      <w:pPr>
        <w:jc w:val="both"/>
        <w:ind w:left="-656" w:right="100" w:firstLine="656"/>
        <w:spacing w:after="0" w:line="266"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has been encouraged to seek the advice of an attorney of his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175" w:lineRule="exact"/>
        <w:rPr>
          <w:rFonts w:ascii="Times New Roman" w:cs="Times New Roman" w:eastAsia="Times New Roman" w:hAnsi="Times New Roman"/>
          <w:sz w:val="18"/>
          <w:szCs w:val="18"/>
          <w:color w:val="auto"/>
        </w:rPr>
      </w:pPr>
    </w:p>
    <w:p>
      <w:pPr>
        <w:ind w:left="-656" w:right="160" w:firstLine="656"/>
        <w:spacing w:after="0" w:line="282"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is to be interpreted without regard to the draftsperson. The terms and intent of the Release shall be interpreted and construed on the express assumption that all parties participated equally in its drafting.</w:t>
      </w:r>
    </w:p>
    <w:p>
      <w:pPr>
        <w:spacing w:after="0" w:line="161" w:lineRule="exact"/>
        <w:rPr>
          <w:rFonts w:ascii="Times New Roman" w:cs="Times New Roman" w:eastAsia="Times New Roman" w:hAnsi="Times New Roman"/>
          <w:sz w:val="18"/>
          <w:szCs w:val="18"/>
          <w:color w:val="auto"/>
        </w:rPr>
      </w:pPr>
    </w:p>
    <w:p>
      <w:pPr>
        <w:ind w:left="-656" w:right="400" w:firstLine="656"/>
        <w:spacing w:after="0" w:line="266"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constitutes a single integrated contract expressing the entire agreement of the parties hereto. Except for the Employment Agreement, which defines certain obligations on the part of both parties, and this Release, there are no agreements, written or oral, express or implied, between the parties hereto, concerning the subject matter herein.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WITNESS WHEREOF, the undersigned have executed this Release on the day and year first above written.</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291465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MICHAEL J. HARTNETT, PH.D.</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EMPLOYER:</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RBC BEARINGS INCORPORATED</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4088765</wp:posOffset>
            </wp:positionH>
            <wp:positionV relativeFrom="paragraph">
              <wp:posOffset>17145</wp:posOffset>
            </wp:positionV>
            <wp:extent cx="26314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462915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A. BERGERON</w:t>
      </w:r>
    </w:p>
    <w:p>
      <w:pPr>
        <w:spacing w:after="0" w:line="20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This Amendment No. 1 to Amended and Restated Employment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is dated as of June 23, 2026 and is made between RBC Bearings Incorporated, a Delaware corporation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Daniel A. Bergeron (“</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Employer and Employee previously entered into that certain Amended and Restated Employment Agreement dated as of June 27, 2024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 the parties now desire to amend the Agreement as set forth in this Amendment. Therefore, Employer and Employee hereby amend the Agreement as hereinafter set forth.</w:t>
      </w:r>
    </w:p>
    <w:p>
      <w:pPr>
        <w:spacing w:after="0" w:line="160"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Section 3(b)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40" w:right="3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3(b)(ii) of the Agreement is hereby amended by replacing the reference therein to “the closing price per share of the Common Stock on the award date” with “the Closing Stock Price.”</w:t>
      </w:r>
    </w:p>
    <w:p>
      <w:pPr>
        <w:spacing w:after="0" w:line="161"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3(b)(iii) of the Agreement is hereby amended by replacing the reference therein to “the closing price per share of the Common Stock on the award date” with “the Closing Stock Price.”</w:t>
      </w:r>
    </w:p>
    <w:p>
      <w:pPr>
        <w:spacing w:after="0" w:line="15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Section 5(e)(v)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5(e)(v) of the Agreement is hereby deleted in its entirety and replaced with the follows:</w:t>
      </w:r>
    </w:p>
    <w:p>
      <w:pPr>
        <w:spacing w:after="0" w:line="229" w:lineRule="exact"/>
        <w:rPr>
          <w:rFonts w:ascii="Times New Roman" w:cs="Times New Roman" w:eastAsia="Times New Roman" w:hAnsi="Times New Roman"/>
          <w:sz w:val="18"/>
          <w:szCs w:val="18"/>
          <w:b w:val="1"/>
          <w:bCs w:val="1"/>
          <w:color w:val="auto"/>
        </w:rPr>
      </w:pPr>
    </w:p>
    <w:p>
      <w:pPr>
        <w:ind w:left="660" w:right="40" w:hanging="328"/>
        <w:spacing w:after="0" w:line="268" w:lineRule="auto"/>
        <w:tabs>
          <w:tab w:leader="none" w:pos="6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Equity Vesting Triggering Event occurs, all restricted stock, stock option awards, and any other equity or equity-based awards that have been Granted to Employee shall immediately and fully vest and all such vested stock options grants shall be exercisable by Employee on or before the day which is 39 months from the initial grant date, in the case of stock option grants with three-year vesting, and on or before the day which is 63 months from the initial grant date in the case of stock option grants with five-year vesting, but in no event later than the expiration date as set forth in the applicable stock option award agreement(s). If an Equity Vesting Triggering Event occurs, a pro rata portion of the shares of stock, stock options and other equity or equity-based awards that have then been Conditionally Awarded to Employee shall be immediately Granted utilizing</w:t>
      </w:r>
    </w:p>
    <w:p>
      <w:pPr>
        <w:spacing w:after="0" w:line="4" w:lineRule="exact"/>
        <w:rPr>
          <w:rFonts w:ascii="Times New Roman" w:cs="Times New Roman" w:eastAsia="Times New Roman" w:hAnsi="Times New Roman"/>
          <w:sz w:val="17"/>
          <w:szCs w:val="17"/>
          <w:color w:val="auto"/>
        </w:rPr>
      </w:pPr>
    </w:p>
    <w:p>
      <w:pPr>
        <w:ind w:left="66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the target level of the performance goals and Management Objectives applicable to such shares of stock, stock options and other equity or equity-based awards for the relevant performance period, except that for any such awards that are based on TSR performance against the Peer Group, achievement of the Peer Group average will be utilized, and (ii) the Closing Stock Price; the proration will account for the number of days that Employee was actually employed during such performance period. The shares of stock, stock options and equity or equity-based awards granted pursuant to the immediately preceding sentence shall immediately and fully vest, such stock options will have an exercise price equal to the Company’s closing stock price on the termination date, and such stock options shall be exercisable by Employee on or before the day which is 39 months from their grant date. Approval of this Agreement by the Company’s Board Compensation Committee shall be deemed approval of the amendments of the restricted stock, stock option and equity or equity-based award grants as provided above for all purposes under the RBC Long-Term Equity Incentive Plans as amended or any subsequent long-term equity incentive plan approved by and on behalf of the Company. The more favorable grant/vesting provisions for Employee contained in this subsection (v) as compared to those contained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shall apply (not on an aggregate basis, but on an award-by-award basis). That is, each award or potential award will be analyzed on an individualized basis to determine whether this subsection (v) provides better treatment than that contained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the better treatment will be provided to Employee (and the award or potential award, as the case may be) whether contained in this subsection (v) or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left="332" w:hanging="332"/>
        <w:spacing w:after="0"/>
        <w:tabs>
          <w:tab w:leader="none" w:pos="33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Section 8</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Adjusted Operating Income in Section 8 of the Agreement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ind w:left="332"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shall mean the Company’s operating income for a given fiscal year adjusted to eliminate the effects of Adjustment Items occurring in the Three-Year Cycle and the cumulative effect of tax or accounting changes related to such Adjustment Items, as determined in accordance with U.S. GAAP.</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of the Agreement is hereby amended by adding the following definitions:</w:t>
      </w:r>
    </w:p>
    <w:p>
      <w:pPr>
        <w:spacing w:after="0" w:line="225" w:lineRule="exact"/>
        <w:rPr>
          <w:rFonts w:ascii="Times New Roman" w:cs="Times New Roman" w:eastAsia="Times New Roman" w:hAnsi="Times New Roman"/>
          <w:sz w:val="18"/>
          <w:szCs w:val="18"/>
          <w:color w:val="auto"/>
        </w:rPr>
      </w:pPr>
    </w:p>
    <w:p>
      <w:pPr>
        <w:ind w:left="332"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Debt” means the Company’s debt as of the end of a given fiscal year minus the debt incurred to complete all acquisitions during the Three-Year Cycle.</w:t>
      </w:r>
    </w:p>
    <w:p>
      <w:pPr>
        <w:spacing w:after="0" w:line="161" w:lineRule="exact"/>
        <w:rPr>
          <w:rFonts w:ascii="Times New Roman" w:cs="Times New Roman" w:eastAsia="Times New Roman" w:hAnsi="Times New Roman"/>
          <w:sz w:val="18"/>
          <w:szCs w:val="18"/>
          <w:color w:val="auto"/>
        </w:rPr>
      </w:pPr>
    </w:p>
    <w:p>
      <w:pPr>
        <w:ind w:left="332"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Cash” means the Company’s cash as of the end of a given fiscal year adjusted for divestitures and acquisitions occurring in the Three-Year Cycle as follows: (i) cash at the end of such fiscal year minus (ii) cash received from such divestitures plus (iii) cash expended to complete such acquisitions plus (iv) cash used during such Three-Year Cycle to pay interest on debt incurred to complete such acquisitions minus (v) cash of each acquired business as of the closing date of the acquisition minus (vi) cash generated by each acquired business from the closing date of the acquisition through the end of such Three-Year Cycle plus (vii) cash contributed by the Company to each acquired business from the closing date of the acquisition through the end of such Three-Year Cycle.</w:t>
      </w:r>
    </w:p>
    <w:p>
      <w:pPr>
        <w:spacing w:after="0" w:line="187"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“Adjustment Items” means asset impairments, restructurings, acquisitions, divestitures, various unusual or non-recurring items, and plant closing costs.</w:t>
      </w:r>
    </w:p>
    <w:p>
      <w:pPr>
        <w:spacing w:after="0" w:line="236" w:lineRule="exact"/>
        <w:rPr>
          <w:rFonts w:ascii="Times New Roman" w:cs="Times New Roman" w:eastAsia="Times New Roman" w:hAnsi="Times New Roman"/>
          <w:sz w:val="18"/>
          <w:szCs w:val="18"/>
          <w:color w:val="auto"/>
        </w:rPr>
      </w:pPr>
    </w:p>
    <w:p>
      <w:pPr>
        <w:ind w:left="33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Stock Price” with respect to any award of equity pursuant to this Agreement means the average of the closing price of the Common Stock on the New York Stock Exchange for the 180 calendar days immediately prior to the filing of the Company’s Annual Report on Form 10-K that precedes the date of such award, except that for purposes of any equity award made pursuant to Section 5(e)(v) the Closing Stock Price means the average of the closing price of the Common Stock on the New York Stock Exchange for the 180 calendar days immediately prior to the date of the termination that triggers such award.</w:t>
      </w:r>
    </w:p>
    <w:p>
      <w:pPr>
        <w:spacing w:after="0" w:line="183"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Cycle” means, with respect to any fiscal year, the Long-Term Performance Period that includes such fiscal year.</w:t>
      </w:r>
    </w:p>
    <w:p>
      <w:pPr>
        <w:spacing w:after="0" w:line="225" w:lineRule="exact"/>
        <w:rPr>
          <w:rFonts w:ascii="Times New Roman" w:cs="Times New Roman" w:eastAsia="Times New Roman" w:hAnsi="Times New Roman"/>
          <w:sz w:val="18"/>
          <w:szCs w:val="18"/>
          <w:color w:val="auto"/>
        </w:rPr>
      </w:pPr>
    </w:p>
    <w:p>
      <w:pPr>
        <w:ind w:left="332" w:right="2340" w:hanging="332"/>
        <w:spacing w:after="0" w:line="498" w:lineRule="auto"/>
        <w:tabs>
          <w:tab w:leader="none" w:pos="3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ROIC in Section 8 of the Agreement is hereby deleted in its entirety and replaced with the following: “ROIC” shall mean Adjusted Operating Income divided by equity plus Adjusted Debt less Adjusted Cash.</w:t>
      </w:r>
    </w:p>
    <w:p>
      <w:pPr>
        <w:spacing w:after="0" w:line="1" w:lineRule="exact"/>
        <w:rPr>
          <w:sz w:val="20"/>
          <w:szCs w:val="20"/>
          <w:color w:val="auto"/>
        </w:rPr>
      </w:pPr>
    </w:p>
    <w:p>
      <w:pPr>
        <w:ind w:left="5212" w:right="3300" w:hanging="5212"/>
        <w:spacing w:after="0" w:line="787" w:lineRule="auto"/>
        <w:tabs>
          <w:tab w:leader="none" w:pos="32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above, all the terms of the Agreement are hereby ratified and confirmed.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w:t>
            </w: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Bearings Incorporated</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Dolores J. Ennico</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Daniel A. Bergeron</w:t>
            </w:r>
          </w:p>
        </w:tc>
      </w:tr>
      <w:tr>
        <w:trPr>
          <w:trHeight w:val="27"/>
        </w:trPr>
        <w:tc>
          <w:tcPr>
            <w:tcW w:w="340" w:type="dxa"/>
            <w:vAlign w:val="bottom"/>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4480" w:type="dxa"/>
            <w:vAlign w:val="bottom"/>
            <w:shd w:val="clear" w:color="auto" w:fill="000000"/>
          </w:tcPr>
          <w:p>
            <w:pPr>
              <w:spacing w:after="0"/>
              <w:rPr>
                <w:sz w:val="2"/>
                <w:szCs w:val="2"/>
                <w:color w:val="auto"/>
              </w:rPr>
            </w:pPr>
          </w:p>
        </w:tc>
      </w:tr>
      <w:tr>
        <w:trPr>
          <w:trHeight w:val="198"/>
        </w:trPr>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Dolores Ennico</w:t>
            </w:r>
          </w:p>
        </w:tc>
        <w:tc>
          <w:tcPr>
            <w:tcW w:w="2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A. Bergeron</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Chairwoman, Compensation Committee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55"/>
        </w:trPr>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Page 3 of 3</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04"/>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9"/>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lowerLetter"/>
      <w:start w:val="1"/>
    </w:lvl>
    <w:lvl w:ilvl="1">
      <w:lvlJc w:val="left"/>
      <w:lvlText w:val="(%2)"/>
      <w:numFmt w:val="lowerRoman"/>
      <w:start w:val="1"/>
    </w:lvl>
  </w:abstractNum>
  <w:abstractNum w:abstractNumId="9">
    <w:nsid w:val="836C40E"/>
    <w:multiLevelType w:val="hybridMultilevel"/>
    <w:lvl w:ilvl="0">
      <w:lvlJc w:val="left"/>
      <w:lvlText w:val="(%1)"/>
      <w:numFmt w:val="lowerRoman"/>
      <w:start w:val="2"/>
    </w:lvl>
  </w:abstractNum>
  <w:abstractNum w:abstractNumId="10">
    <w:nsid w:val="2901D82"/>
    <w:multiLevelType w:val="hybridMultilevel"/>
    <w:lvl w:ilvl="0">
      <w:lvlJc w:val="left"/>
      <w:lvlText w:val="(%1)"/>
      <w:numFmt w:val="lowerRoman"/>
      <w:start w:val="3"/>
    </w:lvl>
  </w:abstractNum>
  <w:abstractNum w:abstractNumId="11">
    <w:nsid w:val="3A95F874"/>
    <w:multiLevelType w:val="hybridMultilevel"/>
    <w:lvl w:ilvl="0">
      <w:lvlJc w:val="left"/>
      <w:lvlText w:val="%1."/>
      <w:numFmt w:val="decimal"/>
      <w:start w:val="4"/>
    </w:lvl>
  </w:abstractNum>
  <w:abstractNum w:abstractNumId="12">
    <w:nsid w:val="8138641"/>
    <w:multiLevelType w:val="hybridMultilevel"/>
    <w:lvl w:ilvl="0">
      <w:lvlJc w:val="left"/>
      <w:lvlText w:val="%1."/>
      <w:numFmt w:val="decimal"/>
      <w:start w:val="5"/>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2"/>
    </w:lvl>
    <w:lvl w:ilvl="1">
      <w:lvlJc w:val="left"/>
      <w:lvlText w:val="(%2)"/>
      <w:numFmt w:val="lowerRoman"/>
      <w:start w:val="1"/>
    </w:lvl>
  </w:abstractNum>
  <w:abstractNum w:abstractNumId="15">
    <w:nsid w:val="737B8DDC"/>
    <w:multiLevelType w:val="hybridMultilevel"/>
    <w:lvl w:ilvl="0">
      <w:lvlJc w:val="left"/>
      <w:lvlText w:val="(%1)"/>
      <w:numFmt w:val="lowerLetter"/>
      <w:start w:val="3"/>
    </w:lvl>
    <w:lvl w:ilvl="1">
      <w:lvlJc w:val="left"/>
      <w:lvlText w:val="(%2)"/>
      <w:numFmt w:val="lowerRoman"/>
      <w:start w:val="1"/>
    </w:lvl>
  </w:abstractNum>
  <w:abstractNum w:abstractNumId="16">
    <w:nsid w:val="6CEAF087"/>
    <w:multiLevelType w:val="hybridMultilevel"/>
    <w:lvl w:ilvl="0">
      <w:lvlJc w:val="left"/>
      <w:lvlText w:val="(%1)"/>
      <w:numFmt w:val="lowerRoman"/>
      <w:start w:val="2"/>
    </w:lvl>
  </w:abstractNum>
  <w:abstractNum w:abstractNumId="17">
    <w:nsid w:val="22221A70"/>
    <w:multiLevelType w:val="hybridMultilevel"/>
    <w:lvl w:ilvl="0">
      <w:lvlJc w:val="left"/>
      <w:lvlText w:val="(%1)"/>
      <w:numFmt w:val="lowerLetter"/>
      <w:start w:val="6"/>
    </w:lvl>
  </w:abstractNum>
  <w:abstractNum w:abstractNumId="18">
    <w:nsid w:val="4516DDE9"/>
    <w:multiLevelType w:val="hybridMultilevel"/>
    <w:lvl w:ilvl="0">
      <w:lvlJc w:val="left"/>
      <w:lvlText w:val="%1."/>
      <w:numFmt w:val="decimal"/>
      <w:start w:val="6"/>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5"/>
    </w:lvl>
  </w:abstractNum>
  <w:abstractNum w:abstractNumId="21">
    <w:nsid w:val="419AC241"/>
    <w:multiLevelType w:val="hybridMultilevel"/>
    <w:lvl w:ilvl="0">
      <w:lvlJc w:val="left"/>
      <w:lvlText w:val="%1."/>
      <w:numFmt w:val="decimal"/>
      <w:start w:val="7"/>
    </w:lvl>
  </w:abstractNum>
  <w:abstractNum w:abstractNumId="22">
    <w:nsid w:val="5577F8E1"/>
    <w:multiLevelType w:val="hybridMultilevel"/>
    <w:lvl w:ilvl="0">
      <w:lvlJc w:val="left"/>
      <w:lvlText w:val="%1."/>
      <w:numFmt w:val="decimal"/>
      <w:start w:val="8"/>
    </w:lvl>
  </w:abstractNum>
  <w:abstractNum w:abstractNumId="23">
    <w:nsid w:val="440BADFC"/>
    <w:multiLevelType w:val="hybridMultilevel"/>
    <w:lvl w:ilvl="0">
      <w:lvlJc w:val="left"/>
      <w:lvlText w:val="(%1)"/>
      <w:numFmt w:val="lowerRoman"/>
      <w:start w:val="4"/>
    </w:lvl>
  </w:abstractNum>
  <w:abstractNum w:abstractNumId="24">
    <w:nsid w:val="5072367"/>
    <w:multiLevelType w:val="hybridMultilevel"/>
    <w:lvl w:ilvl="0">
      <w:lvlJc w:val="left"/>
      <w:lvlText w:val="(%1)"/>
      <w:numFmt w:val="lowerRoman"/>
      <w:start w:val="1"/>
    </w:lvl>
  </w:abstractNum>
  <w:abstractNum w:abstractNumId="25">
    <w:nsid w:val="3804823E"/>
    <w:multiLevelType w:val="hybridMultilevel"/>
    <w:lvl w:ilvl="0">
      <w:lvlJc w:val="left"/>
      <w:lvlText w:val="(%1)"/>
      <w:numFmt w:val="lowerRoman"/>
      <w:start w:val="1"/>
    </w:lvl>
  </w:abstractNum>
  <w:abstractNum w:abstractNumId="26">
    <w:nsid w:val="77465F01"/>
    <w:multiLevelType w:val="hybridMultilevel"/>
    <w:lvl w:ilvl="0">
      <w:lvlJc w:val="left"/>
      <w:lvlText w:val="%1."/>
      <w:numFmt w:val="decimal"/>
      <w:start w:val="9"/>
    </w:lvl>
  </w:abstractNum>
  <w:abstractNum w:abstractNumId="27">
    <w:nsid w:val="7724C67E"/>
    <w:multiLevelType w:val="hybridMultilevel"/>
    <w:lvl w:ilvl="0">
      <w:lvlJc w:val="left"/>
      <w:lvlText w:val="(%1)"/>
      <w:numFmt w:val="lowerLetter"/>
      <w:start w:val="1"/>
    </w:lvl>
    <w:lvl w:ilvl="1">
      <w:lvlJc w:val="left"/>
      <w:lvlText w:val="(%2)"/>
      <w:numFmt w:val="lowerLetter"/>
      <w:start w:val="9"/>
    </w:lvl>
  </w:abstractNum>
  <w:abstractNum w:abstractNumId="28">
    <w:nsid w:val="5C482A97"/>
    <w:multiLevelType w:val="hybridMultilevel"/>
    <w:lvl w:ilvl="0">
      <w:lvlJc w:val="left"/>
      <w:lvlText w:val="(%1)"/>
      <w:numFmt w:val="lowerLetter"/>
      <w:start w:val="3"/>
    </w:lvl>
    <w:lvl w:ilvl="1">
      <w:lvlJc w:val="left"/>
      <w:lvlText w:val="(%2)"/>
      <w:numFmt w:val="lowerRoman"/>
      <w:start w:val="1"/>
    </w:lvl>
  </w:abstractNum>
  <w:abstractNum w:abstractNumId="29">
    <w:nsid w:val="2463B9EA"/>
    <w:multiLevelType w:val="hybridMultilevel"/>
    <w:lvl w:ilvl="0">
      <w:lvlJc w:val="left"/>
      <w:lvlText w:val="(%1)"/>
      <w:numFmt w:val="lowerLetter"/>
      <w:start w:val="4"/>
    </w:lvl>
    <w:lvl w:ilvl="1">
      <w:lvlJc w:val="left"/>
      <w:lvlText w:val="(%2)"/>
      <w:numFmt w:val="lowerRoman"/>
      <w:start w:val="1"/>
    </w:lvl>
  </w:abstractNum>
  <w:abstractNum w:abstractNumId="30">
    <w:nsid w:val="5E884ADC"/>
    <w:multiLevelType w:val="hybridMultilevel"/>
    <w:lvl w:ilvl="0">
      <w:lvlJc w:val="left"/>
      <w:lvlText w:val="(%1)"/>
      <w:numFmt w:val="lowerLetter"/>
      <w:start w:val="5"/>
    </w:lvl>
  </w:abstractNum>
  <w:abstractNum w:abstractNumId="31">
    <w:nsid w:val="51EAD36B"/>
    <w:multiLevelType w:val="hybridMultilevel"/>
    <w:lvl w:ilvl="0">
      <w:lvlJc w:val="left"/>
      <w:lvlText w:val="%1."/>
      <w:numFmt w:val="decimal"/>
      <w:start w:val="1"/>
    </w:lvl>
    <w:lvl w:ilvl="1">
      <w:lvlJc w:val="left"/>
      <w:lvlText w:val="●"/>
      <w:numFmt w:val="bullet"/>
      <w:start w:val="1"/>
    </w:lvl>
  </w:abstractNum>
  <w:abstractNum w:abstractNumId="32">
    <w:nsid w:val="2D517796"/>
    <w:multiLevelType w:val="hybridMultilevel"/>
    <w:lvl w:ilvl="0">
      <w:lvlJc w:val="left"/>
      <w:lvlText w:val="%1."/>
      <w:numFmt w:val="decimal"/>
      <w:start w:val="4"/>
    </w:lvl>
  </w:abstractNum>
  <w:abstractNum w:abstractNumId="33">
    <w:nsid w:val="580BD78F"/>
    <w:multiLevelType w:val="hybridMultilevel"/>
    <w:lvl w:ilvl="0">
      <w:lvlJc w:val="left"/>
      <w:lvlText w:val="%1."/>
      <w:numFmt w:val="decimal"/>
      <w:start w:val="1"/>
    </w:lvl>
    <w:lvl w:ilvl="1">
      <w:lvlJc w:val="left"/>
      <w:lvlText w:val="●"/>
      <w:numFmt w:val="bullet"/>
      <w:start w:val="1"/>
    </w:lvl>
  </w:abstractNum>
  <w:abstractNum w:abstractNumId="34">
    <w:nsid w:val="153EA438"/>
    <w:multiLevelType w:val="hybridMultilevel"/>
    <w:lvl w:ilvl="0">
      <w:lvlJc w:val="left"/>
      <w:lvlText w:val="%1"/>
      <w:numFmt w:val="decimal"/>
      <w:start w:val="1"/>
    </w:lvl>
    <w:lvl w:ilvl="1">
      <w:lvlJc w:val="left"/>
      <w:lvlText w:val="(%2)"/>
      <w:numFmt w:val="lowerLetter"/>
      <w:start w:val="2"/>
    </w:lvl>
  </w:abstractNum>
  <w:abstractNum w:abstractNumId="35">
    <w:nsid w:val="3855585C"/>
    <w:multiLevelType w:val="hybridMultilevel"/>
    <w:lvl w:ilvl="0">
      <w:lvlJc w:val="left"/>
      <w:lvlText w:val="%1."/>
      <w:numFmt w:val="decimal"/>
      <w:start w:val="2"/>
    </w:lvl>
    <w:lvl w:ilvl="1">
      <w:lvlJc w:val="left"/>
      <w:lvlText w:val="%2"/>
      <w:numFmt w:val="lowerLetter"/>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decimal"/>
      <w:start w:val="1"/>
    </w:lvl>
    <w:lvl w:ilvl="1">
      <w:lvlJc w:val="left"/>
      <w:lvlText w:val="(%2)"/>
      <w:numFmt w:val="lowerLetter"/>
      <w:start w:val="2"/>
    </w:lvl>
  </w:abstractNum>
  <w:abstractNum w:abstractNumId="39">
    <w:nsid w:val="1D4ED43B"/>
    <w:multiLevelType w:val="hybridMultilevel"/>
    <w:lvl w:ilvl="0">
      <w:lvlJc w:val="left"/>
      <w:lvlText w:val="%1."/>
      <w:numFmt w:val="decimal"/>
      <w:start w:val="3"/>
    </w:lvl>
    <w:lvl w:ilvl="1">
      <w:lvlJc w:val="left"/>
      <w:lvlText w:val="%2"/>
      <w:numFmt w:val="lowerLetter"/>
      <w:start w:val="1"/>
    </w:lvl>
  </w:abstractNum>
  <w:abstractNum w:abstractNumId="40">
    <w:nsid w:val="725A06FB"/>
    <w:multiLevelType w:val="hybridMultilevel"/>
    <w:lvl w:ilvl="0">
      <w:lvlJc w:val="left"/>
      <w:lvlText w:val="%1."/>
      <w:numFmt w:val="decimal"/>
      <w:start w:val="8"/>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2"/>
    </w:lvl>
    <w:lvl w:ilvl="1">
      <w:lvlJc w:val="left"/>
      <w:lvlText w:val="(%2)"/>
      <w:numFmt w:val="lowerRoman"/>
      <w:start w:val="5"/>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2026-06-24T15:40:47Z</dcterms:created>
  <dcterms:modified xsi:type="dcterms:W3CDTF">2026-06-24T15:40:47Z</dcterms:modified>
</cp:coreProperties>
</file>