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2860" w:hanging="400"/>
        <w:spacing w:after="0"/>
        <w:tabs>
          <w:tab w:leader="none" w:pos="28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2005</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2820" w:hanging="327"/>
        <w:spacing w:after="0"/>
        <w:tabs>
          <w:tab w:leader="none" w:pos="28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ind w:left="3940"/>
        <w:spacing w:after="0"/>
        <w:tabs>
          <w:tab w:leader="none" w:pos="674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333-124824</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RBC Bearings Incorporated</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registrants as specified in their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474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Delaware</w:t>
            </w:r>
          </w:p>
        </w:tc>
        <w:tc>
          <w:tcPr>
            <w:tcW w:w="4960" w:type="dxa"/>
            <w:vAlign w:val="bottom"/>
          </w:tcPr>
          <w:p>
            <w:pPr>
              <w:jc w:val="right"/>
              <w:ind w:right="1470"/>
              <w:spacing w:after="0"/>
              <w:rPr>
                <w:sz w:val="20"/>
                <w:szCs w:val="20"/>
                <w:color w:val="auto"/>
              </w:rPr>
            </w:pPr>
            <w:r>
              <w:rPr>
                <w:rFonts w:ascii="Arial" w:cs="Arial" w:eastAsia="Arial" w:hAnsi="Arial"/>
                <w:sz w:val="18"/>
                <w:szCs w:val="18"/>
                <w:b w:val="1"/>
                <w:bCs w:val="1"/>
                <w:color w:val="auto"/>
              </w:rPr>
              <w:t>95-4372080</w:t>
            </w:r>
          </w:p>
        </w:tc>
      </w:tr>
      <w:tr>
        <w:trPr>
          <w:trHeight w:val="230"/>
        </w:trPr>
        <w:tc>
          <w:tcPr>
            <w:tcW w:w="4740" w:type="dxa"/>
            <w:vAlign w:val="bottom"/>
          </w:tcPr>
          <w:p>
            <w:pPr>
              <w:jc w:val="center"/>
              <w:ind w:right="870"/>
              <w:spacing w:after="0"/>
              <w:rPr>
                <w:sz w:val="20"/>
                <w:szCs w:val="20"/>
                <w:color w:val="auto"/>
              </w:rPr>
            </w:pPr>
            <w:r>
              <w:rPr>
                <w:rFonts w:ascii="Arial" w:cs="Arial" w:eastAsia="Arial" w:hAnsi="Arial"/>
                <w:sz w:val="18"/>
                <w:szCs w:val="18"/>
                <w:color w:val="auto"/>
                <w:w w:val="92"/>
              </w:rPr>
              <w:t>(State of incorporation)</w:t>
            </w:r>
          </w:p>
        </w:tc>
        <w:tc>
          <w:tcPr>
            <w:tcW w:w="4960" w:type="dxa"/>
            <w:vAlign w:val="bottom"/>
          </w:tcPr>
          <w:p>
            <w:pPr>
              <w:jc w:val="center"/>
              <w:ind w:left="870"/>
              <w:spacing w:after="0"/>
              <w:rPr>
                <w:sz w:val="20"/>
                <w:szCs w:val="20"/>
                <w:color w:val="auto"/>
              </w:rPr>
            </w:pPr>
            <w:r>
              <w:rPr>
                <w:rFonts w:ascii="Arial" w:cs="Arial" w:eastAsia="Arial" w:hAnsi="Arial"/>
                <w:sz w:val="18"/>
                <w:szCs w:val="18"/>
                <w:color w:val="auto"/>
                <w:w w:val="93"/>
              </w:rPr>
              <w:t>(I.R.S. Employer Identification Nos.)</w:t>
            </w:r>
          </w:p>
        </w:tc>
      </w:tr>
      <w:tr>
        <w:trPr>
          <w:trHeight w:val="414"/>
        </w:trPr>
        <w:tc>
          <w:tcPr>
            <w:tcW w:w="4740" w:type="dxa"/>
            <w:vAlign w:val="bottom"/>
          </w:tcPr>
          <w:p>
            <w:pPr>
              <w:jc w:val="center"/>
              <w:ind w:right="870"/>
              <w:spacing w:after="0"/>
              <w:rPr>
                <w:sz w:val="20"/>
                <w:szCs w:val="20"/>
                <w:color w:val="auto"/>
              </w:rPr>
            </w:pPr>
            <w:r>
              <w:rPr>
                <w:rFonts w:ascii="Arial" w:cs="Arial" w:eastAsia="Arial" w:hAnsi="Arial"/>
                <w:sz w:val="18"/>
                <w:szCs w:val="18"/>
                <w:b w:val="1"/>
                <w:bCs w:val="1"/>
                <w:color w:val="auto"/>
                <w:w w:val="92"/>
              </w:rPr>
              <w:t>One Tribology Center</w:t>
            </w:r>
          </w:p>
        </w:tc>
        <w:tc>
          <w:tcPr>
            <w:tcW w:w="4960" w:type="dxa"/>
            <w:vAlign w:val="bottom"/>
          </w:tcPr>
          <w:p>
            <w:pPr>
              <w:spacing w:after="0"/>
              <w:rPr>
                <w:sz w:val="24"/>
                <w:szCs w:val="24"/>
                <w:color w:val="auto"/>
              </w:rPr>
            </w:pPr>
          </w:p>
        </w:tc>
      </w:tr>
      <w:tr>
        <w:trPr>
          <w:trHeight w:val="220"/>
        </w:trPr>
        <w:tc>
          <w:tcPr>
            <w:tcW w:w="474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Oxford, CT 06478</w:t>
            </w:r>
          </w:p>
        </w:tc>
        <w:tc>
          <w:tcPr>
            <w:tcW w:w="4960" w:type="dxa"/>
            <w:vAlign w:val="bottom"/>
          </w:tcPr>
          <w:p>
            <w:pPr>
              <w:jc w:val="right"/>
              <w:ind w:right="1350"/>
              <w:spacing w:after="0"/>
              <w:rPr>
                <w:sz w:val="20"/>
                <w:szCs w:val="20"/>
                <w:color w:val="auto"/>
              </w:rPr>
            </w:pPr>
            <w:r>
              <w:rPr>
                <w:rFonts w:ascii="Arial" w:cs="Arial" w:eastAsia="Arial" w:hAnsi="Arial"/>
                <w:sz w:val="18"/>
                <w:szCs w:val="18"/>
                <w:b w:val="1"/>
                <w:bCs w:val="1"/>
                <w:color w:val="auto"/>
              </w:rPr>
              <w:t>(203) 267-7001</w:t>
            </w:r>
          </w:p>
        </w:tc>
      </w:tr>
      <w:tr>
        <w:trPr>
          <w:trHeight w:val="216"/>
        </w:trPr>
        <w:tc>
          <w:tcPr>
            <w:tcW w:w="4740" w:type="dxa"/>
            <w:vAlign w:val="bottom"/>
          </w:tcPr>
          <w:p>
            <w:pPr>
              <w:jc w:val="center"/>
              <w:ind w:right="870"/>
              <w:spacing w:after="0"/>
              <w:rPr>
                <w:sz w:val="20"/>
                <w:szCs w:val="20"/>
                <w:color w:val="auto"/>
              </w:rPr>
            </w:pPr>
            <w:r>
              <w:rPr>
                <w:rFonts w:ascii="Arial" w:cs="Arial" w:eastAsia="Arial" w:hAnsi="Arial"/>
                <w:sz w:val="18"/>
                <w:szCs w:val="18"/>
                <w:color w:val="auto"/>
                <w:w w:val="92"/>
              </w:rPr>
              <w:t>(Addresses of Principal Executive Offices, including</w:t>
            </w:r>
          </w:p>
        </w:tc>
        <w:tc>
          <w:tcPr>
            <w:tcW w:w="4960" w:type="dxa"/>
            <w:vAlign w:val="bottom"/>
          </w:tcPr>
          <w:p>
            <w:pPr>
              <w:jc w:val="center"/>
              <w:ind w:left="870"/>
              <w:spacing w:after="0"/>
              <w:rPr>
                <w:sz w:val="20"/>
                <w:szCs w:val="20"/>
                <w:color w:val="auto"/>
              </w:rPr>
            </w:pPr>
            <w:r>
              <w:rPr>
                <w:rFonts w:ascii="Arial" w:cs="Arial" w:eastAsia="Arial" w:hAnsi="Arial"/>
                <w:sz w:val="18"/>
                <w:szCs w:val="18"/>
                <w:color w:val="auto"/>
                <w:w w:val="91"/>
              </w:rPr>
              <w:t>(Registrants’ Telephone Number, Including Area Code)</w:t>
            </w:r>
          </w:p>
        </w:tc>
      </w:tr>
      <w:tr>
        <w:trPr>
          <w:trHeight w:val="230"/>
        </w:trPr>
        <w:tc>
          <w:tcPr>
            <w:tcW w:w="4740" w:type="dxa"/>
            <w:vAlign w:val="bottom"/>
          </w:tcPr>
          <w:p>
            <w:pPr>
              <w:jc w:val="center"/>
              <w:ind w:right="870"/>
              <w:spacing w:after="0"/>
              <w:rPr>
                <w:sz w:val="20"/>
                <w:szCs w:val="20"/>
                <w:color w:val="auto"/>
              </w:rPr>
            </w:pPr>
            <w:r>
              <w:rPr>
                <w:rFonts w:ascii="Arial" w:cs="Arial" w:eastAsia="Arial" w:hAnsi="Arial"/>
                <w:sz w:val="18"/>
                <w:szCs w:val="18"/>
                <w:color w:val="auto"/>
                <w:w w:val="93"/>
              </w:rPr>
              <w:t>Zip Code)</w:t>
            </w:r>
          </w:p>
        </w:tc>
        <w:tc>
          <w:tcPr>
            <w:tcW w:w="4960" w:type="dxa"/>
            <w:vAlign w:val="bottom"/>
          </w:tcPr>
          <w:p>
            <w:pPr>
              <w:spacing w:after="0"/>
              <w:rPr>
                <w:sz w:val="20"/>
                <w:szCs w:val="20"/>
                <w:color w:val="auto"/>
              </w:rPr>
            </w:pPr>
          </w:p>
        </w:tc>
      </w:tr>
    </w:tbl>
    <w:p>
      <w:pPr>
        <w:spacing w:after="0" w:line="202"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o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13, 2006, RBC Bearings Incorporated had 16,647,129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FINANCIAL INFORMATION</w:t>
        </w:r>
      </w:hyperlink>
    </w:p>
    <w:p>
      <w:pPr>
        <w:spacing w:after="0" w:line="23" w:lineRule="exact"/>
        <w:rPr>
          <w:sz w:val="24"/>
          <w:szCs w:val="24"/>
          <w:color w:val="auto"/>
        </w:rPr>
      </w:pPr>
    </w:p>
    <w:p>
      <w:pPr>
        <w:ind w:left="680"/>
        <w:spacing w:after="0"/>
        <w:tabs>
          <w:tab w:leader="none" w:pos="1500" w:val="left"/>
        </w:tabs>
        <w:rPr>
          <w:rFonts w:ascii="Arial" w:cs="Arial" w:eastAsia="Arial" w:hAnsi="Arial"/>
          <w:sz w:val="16"/>
          <w:szCs w:val="16"/>
          <w:u w:val="single" w:color="auto"/>
          <w:color w:val="0000EE"/>
        </w:rPr>
      </w:pPr>
      <w:hyperlink w:anchor="page1">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1">
        <w:r>
          <w:rPr>
            <w:rFonts w:ascii="Arial" w:cs="Arial" w:eastAsia="Arial" w:hAnsi="Arial"/>
            <w:sz w:val="16"/>
            <w:szCs w:val="16"/>
            <w:u w:val="single" w:color="auto"/>
            <w:color w:val="0000EE"/>
          </w:rPr>
          <w:t>Unaudited Consolidated Financial Statements</w:t>
        </w:r>
      </w:hyperlink>
    </w:p>
    <w:p>
      <w:pPr>
        <w:spacing w:after="0" w:line="9" w:lineRule="exact"/>
        <w:rPr>
          <w:sz w:val="20"/>
          <w:szCs w:val="20"/>
          <w:color w:val="auto"/>
        </w:rPr>
      </w:pPr>
    </w:p>
    <w:p>
      <w:pPr>
        <w:ind w:left="680"/>
        <w:spacing w:after="0"/>
        <w:tabs>
          <w:tab w:leader="none" w:pos="1500" w:val="left"/>
        </w:tabs>
        <w:rPr>
          <w:rFonts w:ascii="Arial" w:cs="Arial" w:eastAsia="Arial" w:hAnsi="Arial"/>
          <w:sz w:val="16"/>
          <w:szCs w:val="16"/>
          <w:u w:val="single" w:color="auto"/>
          <w:color w:val="0000EE"/>
        </w:rPr>
      </w:pPr>
      <w:hyperlink w:anchor="page10">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0">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ind w:left="680"/>
        <w:spacing w:after="0"/>
        <w:tabs>
          <w:tab w:leader="none" w:pos="150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ind w:left="680"/>
        <w:spacing w:after="0"/>
        <w:tabs>
          <w:tab w:leader="none" w:pos="1500" w:val="left"/>
        </w:tabs>
        <w:rPr>
          <w:rFonts w:ascii="Arial" w:cs="Arial" w:eastAsia="Arial" w:hAnsi="Arial"/>
          <w:sz w:val="16"/>
          <w:szCs w:val="16"/>
          <w:u w:val="single" w:color="auto"/>
          <w:color w:val="0000EE"/>
        </w:rPr>
      </w:pPr>
      <w:hyperlink w:anchor="page16">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6">
        <w:r>
          <w:rPr>
            <w:rFonts w:ascii="Arial" w:cs="Arial" w:eastAsia="Arial" w:hAnsi="Arial"/>
            <w:sz w:val="16"/>
            <w:szCs w:val="16"/>
            <w:u w:val="single" w:color="auto"/>
            <w:color w:val="0000EE"/>
          </w:rPr>
          <w:t>Controls and Procedures</w:t>
        </w:r>
      </w:hyperlink>
    </w:p>
    <w:p>
      <w:pPr>
        <w:spacing w:after="0" w:line="8" w:lineRule="exact"/>
        <w:rPr>
          <w:sz w:val="20"/>
          <w:szCs w:val="20"/>
          <w:color w:val="auto"/>
        </w:rPr>
      </w:pPr>
    </w:p>
    <w:p>
      <w:pPr>
        <w:ind w:left="1700"/>
        <w:spacing w:after="0"/>
        <w:rPr>
          <w:rFonts w:ascii="Arial" w:cs="Arial" w:eastAsia="Arial" w:hAnsi="Arial"/>
          <w:sz w:val="20"/>
          <w:szCs w:val="20"/>
          <w:u w:val="single" w:color="auto"/>
          <w:color w:val="0000EE"/>
        </w:rPr>
      </w:pPr>
      <w:hyperlink w:anchor="page16">
        <w:r>
          <w:rPr>
            <w:rFonts w:ascii="Arial" w:cs="Arial" w:eastAsia="Arial" w:hAnsi="Arial"/>
            <w:sz w:val="20"/>
            <w:szCs w:val="20"/>
            <w:u w:val="single" w:color="auto"/>
            <w:color w:val="0000EE"/>
          </w:rPr>
          <w:t>Changes in Internal Control over Financial Reporting</w:t>
        </w:r>
      </w:hyperlink>
    </w:p>
    <w:p>
      <w:pPr>
        <w:spacing w:after="0" w:line="2" w:lineRule="exact"/>
        <w:rPr>
          <w:sz w:val="20"/>
          <w:szCs w:val="20"/>
          <w:color w:val="auto"/>
        </w:rPr>
      </w:pPr>
    </w:p>
    <w:p>
      <w:pPr>
        <w:ind w:left="17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Limitation on Effectiveness of Controls</w:t>
        </w:r>
      </w:hyperlink>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Part II - OTHER INFORMATION</w:t>
        </w:r>
      </w:hyperlink>
    </w:p>
    <w:tbl>
      <w:tblPr>
        <w:tblLayout w:type="fixed"/>
        <w:tblInd w:w="0" w:type="dxa"/>
        <w:tblCellMar>
          <w:top w:w="0" w:type="dxa"/>
          <w:left w:w="0" w:type="dxa"/>
          <w:bottom w:w="0" w:type="dxa"/>
          <w:right w:w="0" w:type="dxa"/>
        </w:tblCellMar>
      </w:tblPr>
      <w:tr>
        <w:trPr>
          <w:trHeight w:val="199"/>
        </w:trPr>
        <w:tc>
          <w:tcPr>
            <w:tcW w:w="680" w:type="dxa"/>
            <w:vAlign w:val="bottom"/>
          </w:tcPr>
          <w:p>
            <w:pPr>
              <w:spacing w:after="0"/>
              <w:rPr>
                <w:sz w:val="17"/>
                <w:szCs w:val="17"/>
                <w:color w:val="auto"/>
              </w:rPr>
            </w:pPr>
          </w:p>
        </w:tc>
        <w:tc>
          <w:tcPr>
            <w:tcW w:w="620" w:type="dxa"/>
            <w:vAlign w:val="bottom"/>
            <w:tcBorders>
              <w:bottom w:val="single" w:sz="8" w:color="0000EE"/>
            </w:tcBorders>
          </w:tcPr>
          <w:p>
            <w:pPr>
              <w:spacing w:after="0" w:line="199"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1.</w:t>
              </w:r>
            </w:hyperlink>
          </w:p>
        </w:tc>
        <w:tc>
          <w:tcPr>
            <w:tcW w:w="2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9"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858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2.</w:t>
              </w:r>
            </w:hyperlink>
          </w:p>
        </w:tc>
        <w:tc>
          <w:tcPr>
            <w:tcW w:w="22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r>
      <w:tr>
        <w:trPr>
          <w:trHeight w:val="196"/>
        </w:trPr>
        <w:tc>
          <w:tcPr>
            <w:tcW w:w="680" w:type="dxa"/>
            <w:vAlign w:val="bottom"/>
          </w:tcPr>
          <w:p>
            <w:pPr>
              <w:spacing w:after="0"/>
              <w:rPr>
                <w:sz w:val="17"/>
                <w:szCs w:val="17"/>
                <w:color w:val="auto"/>
              </w:rPr>
            </w:pPr>
          </w:p>
        </w:tc>
        <w:tc>
          <w:tcPr>
            <w:tcW w:w="62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3.</w:t>
              </w:r>
            </w:hyperlink>
          </w:p>
        </w:tc>
        <w:tc>
          <w:tcPr>
            <w:tcW w:w="220" w:type="dxa"/>
            <w:vAlign w:val="bottom"/>
          </w:tcPr>
          <w:p>
            <w:pPr>
              <w:spacing w:after="0"/>
              <w:rPr>
                <w:sz w:val="17"/>
                <w:szCs w:val="17"/>
                <w:color w:val="auto"/>
              </w:rPr>
            </w:pPr>
          </w:p>
        </w:tc>
        <w:tc>
          <w:tcPr>
            <w:tcW w:w="43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Defaults Upon Senior Securities</w:t>
              </w:r>
            </w:hyperlink>
          </w:p>
        </w:tc>
        <w:tc>
          <w:tcPr>
            <w:tcW w:w="558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60" w:type="dxa"/>
            <w:vAlign w:val="bottom"/>
            <w:gridSpan w:val="2"/>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4.</w:t>
              </w:r>
            </w:hyperlink>
          </w:p>
        </w:tc>
        <w:tc>
          <w:tcPr>
            <w:tcW w:w="22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r>
      <w:tr>
        <w:trPr>
          <w:trHeight w:val="196"/>
        </w:trPr>
        <w:tc>
          <w:tcPr>
            <w:tcW w:w="68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5.</w:t>
              </w:r>
            </w:hyperlink>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3"/>
          </w:tcPr>
          <w:p>
            <w:pPr>
              <w:spacing w:after="0"/>
              <w:rPr>
                <w:sz w:val="17"/>
                <w:szCs w:val="17"/>
                <w:color w:val="auto"/>
              </w:rPr>
            </w:pPr>
          </w:p>
        </w:tc>
        <w:tc>
          <w:tcPr>
            <w:tcW w:w="616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6.</w:t>
              </w:r>
            </w:hyperlink>
          </w:p>
        </w:tc>
        <w:tc>
          <w:tcPr>
            <w:tcW w:w="220" w:type="dxa"/>
            <w:vAlign w:val="bottom"/>
          </w:tcPr>
          <w:p>
            <w:pPr>
              <w:spacing w:after="0"/>
              <w:rPr>
                <w:sz w:val="17"/>
                <w:szCs w:val="17"/>
                <w:color w:val="auto"/>
              </w:rPr>
            </w:pPr>
          </w:p>
        </w:tc>
        <w:tc>
          <w:tcPr>
            <w:tcW w:w="9920" w:type="dxa"/>
            <w:vAlign w:val="bottom"/>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Exhibits</w:t>
              </w:r>
            </w:hyperlink>
          </w:p>
        </w:tc>
      </w:tr>
      <w:tr>
        <w:trPr>
          <w:trHeight w:val="453"/>
        </w:trPr>
        <w:tc>
          <w:tcPr>
            <w:tcW w:w="6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40" w:type="dxa"/>
            <w:vAlign w:val="bottom"/>
            <w:gridSpan w:val="5"/>
          </w:tcPr>
          <w:p>
            <w:pPr>
              <w:jc w:val="right"/>
              <w:ind w:right="100"/>
              <w:spacing w:after="0"/>
              <w:rPr>
                <w:sz w:val="20"/>
                <w:szCs w:val="20"/>
                <w:color w:val="auto"/>
              </w:rPr>
            </w:pPr>
            <w:r>
              <w:rPr>
                <w:rFonts w:ascii="Arial" w:cs="Arial" w:eastAsia="Arial" w:hAnsi="Arial"/>
                <w:sz w:val="18"/>
                <w:szCs w:val="18"/>
                <w:color w:val="auto"/>
              </w:rPr>
              <w:t>2</w:t>
            </w:r>
          </w:p>
        </w:tc>
        <w:tc>
          <w:tcPr>
            <w:tcW w:w="5580" w:type="dxa"/>
            <w:vAlign w:val="bottom"/>
          </w:tcPr>
          <w:p>
            <w:pPr>
              <w:spacing w:after="0"/>
              <w:rPr>
                <w:sz w:val="24"/>
                <w:szCs w:val="24"/>
                <w:color w:val="auto"/>
              </w:rPr>
            </w:pPr>
          </w:p>
        </w:tc>
      </w:tr>
      <w:tr>
        <w:trPr>
          <w:trHeight w:val="118"/>
        </w:trPr>
        <w:tc>
          <w:tcPr>
            <w:tcW w:w="6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ectPr>
          <w:pgSz w:w="11900" w:h="16838" w:orient="portrait"/>
          <w:cols w:equalWidth="0" w:num="1">
            <w:col w:w="11440"/>
          </w:cols>
          <w:pgMar w:left="240" w:top="585" w:right="219" w:bottom="0" w:gutter="0" w:footer="0" w:header="0"/>
        </w:sectPr>
      </w:pPr>
    </w:p>
    <w:bookmarkStart w:id="1" w:name="page2"/>
    <w:bookmarkEnd w:id="1"/>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April 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13"/>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585"/>
              <w:spacing w:after="0"/>
              <w:rPr>
                <w:sz w:val="20"/>
                <w:szCs w:val="20"/>
                <w:color w:val="auto"/>
              </w:rPr>
            </w:pPr>
            <w:r>
              <w:rPr>
                <w:rFonts w:ascii="Arial" w:cs="Arial" w:eastAsia="Arial" w:hAnsi="Arial"/>
                <w:sz w:val="18"/>
                <w:szCs w:val="18"/>
                <w:b w:val="1"/>
                <w:bCs w:val="1"/>
                <w:color w:val="auto"/>
                <w:w w:val="94"/>
              </w:rPr>
              <w:t>ASSETS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10,312</w:t>
            </w: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46,722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13,562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Prepaid expenses and other current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25,150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3"/>
              </w:rPr>
              <w:t>Intangible assets, net of accumulated amortization of $1,446 at December 31, 2005 and $949 at April 2, 2005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7"/>
              </w:rPr>
              <w:t>Deferred financing costs, net of accumulated amortization of $1,082 at December 31, 2005 and $1,280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April 2, 2005</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271,424</w:t>
            </w:r>
          </w:p>
        </w:tc>
        <w:tc>
          <w:tcPr>
            <w:tcW w:w="1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5"/>
            <w:shd w:val="clear" w:color="auto" w:fill="CCEEFF"/>
          </w:tcPr>
          <w:p>
            <w:pPr>
              <w:jc w:val="center"/>
              <w:ind w:left="1310"/>
              <w:spacing w:after="0"/>
              <w:rPr>
                <w:sz w:val="20"/>
                <w:szCs w:val="20"/>
                <w:color w:val="auto"/>
              </w:rPr>
            </w:pPr>
            <w:r>
              <w:rPr>
                <w:rFonts w:ascii="Arial" w:cs="Arial" w:eastAsia="Arial" w:hAnsi="Arial"/>
                <w:sz w:val="18"/>
                <w:szCs w:val="18"/>
                <w:b w:val="1"/>
                <w:bCs w:val="1"/>
                <w:color w:val="auto"/>
              </w:rPr>
              <w:t>LIABILITIES AND STOCKHOLDERS’ EQUITY (DEFICIT)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17,744</w:t>
            </w:r>
          </w:p>
        </w:tc>
        <w:tc>
          <w:tcPr>
            <w:tcW w:w="1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w w:val="91"/>
              </w:rPr>
              <w:t>Accrued expenses and other current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Capital lease obligations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Long-term debt, less current portion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165,640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Capital lease obligations, less current portion</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Other non-current liabilities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257,928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6"/>
              </w:rPr>
              <w:t>Class A preferred stock, $.01 par value; authorized shares: 15,500 at April 2, 2005; none at December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2005; none issued and outstanding</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Class B exchangeable convertible participating preferred stock, $.01 par value; authorized shares: 240,000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9"/>
            <w:shd w:val="clear" w:color="auto" w:fill="CCEEFF"/>
          </w:tcPr>
          <w:p>
            <w:pPr>
              <w:ind w:left="340"/>
              <w:spacing w:after="0"/>
              <w:rPr>
                <w:sz w:val="20"/>
                <w:szCs w:val="20"/>
                <w:color w:val="auto"/>
              </w:rPr>
            </w:pPr>
            <w:r>
              <w:rPr>
                <w:rFonts w:ascii="Arial" w:cs="Arial" w:eastAsia="Arial" w:hAnsi="Arial"/>
                <w:sz w:val="18"/>
                <w:szCs w:val="18"/>
                <w:color w:val="auto"/>
              </w:rPr>
              <w:t>April 2, 2005; none at December 31, 2005; issued and outstanding shares: 240,000 at April 2, 2005</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7"/>
              </w:rPr>
              <w:t>Class C redeemable preferred stock, $.01 par value; authorized shares: 900,000 at April 2, 2005; none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gridSpan w:val="3"/>
          </w:tcPr>
          <w:p>
            <w:pPr>
              <w:ind w:left="340"/>
              <w:spacing w:after="0"/>
              <w:rPr>
                <w:sz w:val="20"/>
                <w:szCs w:val="20"/>
                <w:color w:val="auto"/>
              </w:rPr>
            </w:pPr>
            <w:r>
              <w:rPr>
                <w:rFonts w:ascii="Arial" w:cs="Arial" w:eastAsia="Arial" w:hAnsi="Arial"/>
                <w:sz w:val="18"/>
                <w:szCs w:val="18"/>
                <w:color w:val="auto"/>
              </w:rPr>
              <w:t>December 31, 2005; none issued and outstanding</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Class D preferred stock, $.01 par value; authorized shares: 240,000 at April 2, 2005; none at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2005; none issued and outstanding</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tcPr>
          <w:p>
            <w:pPr>
              <w:ind w:left="160"/>
              <w:spacing w:after="0" w:line="201" w:lineRule="exact"/>
              <w:rPr>
                <w:sz w:val="20"/>
                <w:szCs w:val="20"/>
                <w:color w:val="auto"/>
              </w:rPr>
            </w:pPr>
            <w:r>
              <w:rPr>
                <w:rFonts w:ascii="Arial" w:cs="Arial" w:eastAsia="Arial" w:hAnsi="Arial"/>
                <w:sz w:val="18"/>
                <w:szCs w:val="18"/>
                <w:color w:val="auto"/>
              </w:rPr>
              <w:t>Class A voting common stock, $.01 par value; authorized shares: 20,000,000 at April 2, 2005; none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5"/>
          </w:tcPr>
          <w:p>
            <w:pPr>
              <w:ind w:left="340"/>
              <w:spacing w:after="0"/>
              <w:rPr>
                <w:sz w:val="20"/>
                <w:szCs w:val="20"/>
                <w:color w:val="auto"/>
              </w:rPr>
            </w:pPr>
            <w:r>
              <w:rPr>
                <w:rFonts w:ascii="Arial" w:cs="Arial" w:eastAsia="Arial" w:hAnsi="Arial"/>
                <w:sz w:val="18"/>
                <w:szCs w:val="18"/>
                <w:color w:val="auto"/>
              </w:rPr>
              <w:t>December 31, 2005; issued and outstanding shares: 6,202,519 at April 2, 2005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Class B super voting common stock, $.01 par value; authorized shares: 2,500,000 at April 2, 2005; none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December 31, 2005; issued and outstanding shares: 250 at April 2, 2005</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2"/>
              </w:rPr>
              <w:t>Common Stock, $.01 par value; authorized shares: 60,000,000 at December 31, 2005; issued and outstanding</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w w:val="93"/>
              </w:rPr>
              <w:t>shares: 16,631,213 at December 31, 2005</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(32,710)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271,424</w:t>
            </w:r>
          </w:p>
        </w:tc>
        <w:tc>
          <w:tcPr>
            <w:tcW w:w="1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gridSpan w:val="4"/>
          </w:tcPr>
          <w:p>
            <w:pPr>
              <w:jc w:val="center"/>
              <w:ind w:left="1090"/>
              <w:spacing w:after="0"/>
              <w:rPr>
                <w:sz w:val="20"/>
                <w:szCs w:val="20"/>
                <w:color w:val="auto"/>
              </w:rPr>
            </w:pPr>
            <w:r>
              <w:rPr>
                <w:rFonts w:ascii="Arial" w:cs="Arial" w:eastAsia="Arial" w:hAnsi="Arial"/>
                <w:sz w:val="18"/>
                <w:szCs w:val="18"/>
                <w:color w:val="auto"/>
                <w:w w:val="87"/>
              </w:rPr>
              <w:t>See accompanying notes.</w:t>
            </w: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center"/>
              <w:ind w:right="277"/>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40" w:type="dxa"/>
            <w:vAlign w:val="bottom"/>
            <w:gridSpan w:val="6"/>
          </w:tcPr>
          <w:p>
            <w:pPr>
              <w:jc w:val="center"/>
              <w:ind w:left="810"/>
              <w:spacing w:after="0"/>
              <w:rPr>
                <w:sz w:val="20"/>
                <w:szCs w:val="20"/>
                <w:color w:val="auto"/>
              </w:rPr>
            </w:pPr>
            <w:r>
              <w:rPr>
                <w:rFonts w:ascii="Arial" w:cs="Arial" w:eastAsia="Arial" w:hAnsi="Arial"/>
                <w:sz w:val="18"/>
                <w:szCs w:val="18"/>
                <w:b w:val="1"/>
                <w:bCs w:val="1"/>
                <w:color w:val="auto"/>
                <w:w w:val="92"/>
              </w:rPr>
              <w:t>RBC Bearings Incorporated</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80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80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88"/>
              </w:rPr>
              <w:t>(dollars in thousands, except share and per share data)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ind w:left="18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8"/>
              <w:spacing w:after="0" w:line="119" w:lineRule="exact"/>
              <w:rPr>
                <w:sz w:val="20"/>
                <w:szCs w:val="20"/>
                <w:color w:val="auto"/>
              </w:rPr>
            </w:pPr>
            <w:r>
              <w:rPr>
                <w:rFonts w:ascii="Arial" w:cs="Arial" w:eastAsia="Arial" w:hAnsi="Arial"/>
                <w:sz w:val="13"/>
                <w:szCs w:val="13"/>
                <w:b w:val="1"/>
                <w:bCs w:val="1"/>
                <w:color w:val="auto"/>
              </w:rPr>
              <w:t>January 1,</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2"/>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198,758</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 of sales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47,029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41,413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139,134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20,361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16,732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59,624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352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-2243455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-2243455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1" w:right="21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9,203</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32,325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10,788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26,279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12,582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3,771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2,711</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3,442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6,484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5"/>
              </w:rPr>
              <w:t>Participation rights of preferred stock in undistributed earnings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 available to common stockholders</w:t>
            </w:r>
          </w:p>
        </w:tc>
        <w:tc>
          <w:tcPr>
            <w:tcW w:w="4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4,961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per common share:</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5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0.43</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3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16,546,681</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6,188,903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11,649,073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17,676,227</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10,870,755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13,307,181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6,188,903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40" w:type="dxa"/>
            <w:vAlign w:val="bottom"/>
            <w:gridSpan w:val="4"/>
          </w:tcPr>
          <w:p>
            <w:pPr>
              <w:jc w:val="center"/>
              <w:ind w:right="40"/>
              <w:spacing w:after="0"/>
              <w:rPr>
                <w:sz w:val="20"/>
                <w:szCs w:val="20"/>
                <w:color w:val="auto"/>
              </w:rPr>
            </w:pPr>
            <w:r>
              <w:rPr>
                <w:rFonts w:ascii="Arial" w:cs="Arial" w:eastAsia="Arial" w:hAnsi="Arial"/>
                <w:sz w:val="18"/>
                <w:szCs w:val="18"/>
                <w:color w:val="auto"/>
                <w:w w:val="87"/>
              </w:rPr>
              <w:t>See accompanying notes.</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60" w:type="dxa"/>
            <w:vAlign w:val="bottom"/>
            <w:tcBorders>
              <w:bottom w:val="single" w:sz="8" w:color="808080"/>
            </w:tcBorders>
            <w:gridSpan w:val="7"/>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260" w:type="dxa"/>
            <w:vAlign w:val="bottom"/>
            <w:gridSpan w:val="7"/>
          </w:tcPr>
          <w:p>
            <w:pPr>
              <w:jc w:val="center"/>
              <w:ind w:left="4030"/>
              <w:spacing w:after="0"/>
              <w:rPr>
                <w:sz w:val="20"/>
                <w:szCs w:val="20"/>
                <w:color w:val="auto"/>
              </w:rPr>
            </w:pPr>
            <w:r>
              <w:rPr>
                <w:rFonts w:ascii="Arial" w:cs="Arial" w:eastAsia="Arial" w:hAnsi="Arial"/>
                <w:sz w:val="18"/>
                <w:szCs w:val="18"/>
                <w:b w:val="1"/>
                <w:bCs w:val="1"/>
                <w:color w:val="auto"/>
                <w:w w:val="92"/>
              </w:rPr>
              <w:t>RBC Bearings Incorporated</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7"/>
          </w:tcPr>
          <w:p>
            <w:pPr>
              <w:jc w:val="center"/>
              <w:ind w:left="40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4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(dollars in thousands)</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December 31,</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1"/>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6,484</w:t>
            </w:r>
          </w:p>
        </w:tc>
        <w:tc>
          <w:tcPr>
            <w:tcW w:w="140" w:type="dxa"/>
            <w:vAlign w:val="bottom"/>
          </w:tcPr>
          <w:p>
            <w:pPr>
              <w:spacing w:after="0"/>
              <w:rPr>
                <w:sz w:val="18"/>
                <w:szCs w:val="18"/>
                <w:color w:val="auto"/>
              </w:rPr>
            </w:pPr>
          </w:p>
        </w:tc>
        <w:tc>
          <w:tcPr>
            <w:tcW w:w="3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6,641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Amortization of deferred financing costs and debt discount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Amortization of deferred stock compensation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disposition of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Loss on early extinguishment of debt (non-cash portion)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w w:val="92"/>
              </w:rPr>
              <w:t>Changes in operating assets and liabilities, net of acquisitions: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(9,859)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(3,186)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(7,772)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(2,602)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(10,347)</w:t>
            </w: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revolving credit facility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2"/>
              </w:rPr>
              <w:t>Net proceeds from sale of common stock in initial public offering</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92,128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Class C redeemable preferred stock</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(30,630)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Redemption of Class D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Retirement of senior subordinated notes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term loans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Retirement of term loans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Senior Subordinated Discount Debentures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Payments of bank term loan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(3,703)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-6718300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-6718300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0" w:right="2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Financing fees paid in connection with senior credit facility</w:t>
            </w:r>
          </w:p>
        </w:tc>
        <w:tc>
          <w:tcPr>
            <w:tcW w:w="4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Increase (decrease) during the period</w:t>
            </w: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14,066</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886</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RBC Bearings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consolidated financial statements included herein have been prepared by RBC Bearings Incorporated, a Delaware corporation (collectively with its subsidiaries, the “Company”), without audit, pursuant to the rules and regulations of the Securities and Exchange Commission. The fiscal year end balance sheet data have been derived from the Company’s audited financial statements, but do not include all disclosures required by generally accepted accounting principles in the United States. The interim financial statements furnished with this report have been prepared on a consistent basis with the Company’s audited financial statements and notes thereto included in the Company’s Form S-1 for the fiscal year ended April 2, 2005, initially filed on May 11, 2005, as amended (the “Form S-1”).</w:t>
      </w:r>
    </w:p>
    <w:p>
      <w:pPr>
        <w:spacing w:after="0" w:line="193"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As previously disclosed on Form 8-K filed by the Company 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on August 15, 2005 (see Note 13).</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consolidated financial statements include the accounts of RBC Bearings Incorporated, Roller Bearing Company of America, Inc. (“RBCA”) and its wholly-owned subsidiaries, Industrial Tectonics Bearings Corporation (“ITB”), RBC Linear Precision Products, Inc. (“LPP”), RBC Nice Bearings, Inc. (“Nice”), RBC Precision Products - Bremen, Inc. (“Miller”), RBC Precision Products – Plymouth, Inc. (“Bremen”), Tyson Bearings, Inc. (“Tyson”), Schaublin Holdings S.A. and its wholly-owned subsidiaries (“Schaublin”), RBC de Mexico (“Mexico”), RBC Oklahoma, Inc. (“RBC Oklahoma”), RBC Aircraft Products, Inc. (“API”), and RBC Southwest Products, Inc. (“SWP”) as well as its Transport Dynamics (“TDC”), Heim (“Heim”), Engineered Components (“ECD”) and U.S. Bearings (“USB”) divisions. All material intercompany balances and transactions have been eliminated in consolidation.</w:t>
      </w:r>
    </w:p>
    <w:p>
      <w:pPr>
        <w:spacing w:after="0" w:line="17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These statements reflect all adjustments, consisting only of items of a normal recurring nature, which are, in the opinion of management, necessary for the fair presentation of the consolidated financial condition and consolidated results of operations for the interim periods presented. These financial statements should be read in conjunction with the Company’s audited financial statements and notes thereto included in the Form S-1.</w:t>
      </w:r>
    </w:p>
    <w:p>
      <w:pPr>
        <w:spacing w:after="0" w:line="14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operates in four reportable business segments—roller bearings, plain bearings, ball bearings, other and corporate—in which it manufactures roller bearing components and assembled parts and designs and manufactures high-precision roller and ball bearings. The Company sells to a wide variety of original equipment manufacturers (“OEMs”) and distributors who are widely dispersed geographically.</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results of operations for the three month and nine month periods ended December 31, 2005 are not necessarily indicative of the operating results for the full year. Amounts shown are in thousands,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Acquisition</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Effective September 2, 2005, SWP purchased certain assets of the Southwest Products Company, a manufacturer of spherical bearings, journal bearings, and push-pull controls for military weapon systems and military and commercial aerospace applications located in Irwindale, California. The total consideration paid was approximately $2,602. The products associated with the acquisition are complementary with products already provided by other Company businesses. Southwest Products Company is included in the Plain Bearing reportable segment.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Basic net income (loss) per common share is computed by dividing net income (loss) available to common stockholders (both Class A and Class B common stockholders share equally in net income (loss)) by the weighted-average number of common shares outstanding. Prior to August 15, 2005, the Company also had outstanding Class B convertible participating preferred stock (the Class B preferred stock participated in all undistributed earnings with the common stock). The Company allocated earnings to the common stockholders and the Class B convertible participating preferred stockholders under the two-class method as required by Emerging Issues Task Force Issue No. 03-6, “Participating Securities and the Two-Class Method under FASB Statement</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No. 128.” The two-class method is an earnings allocation method under which basic net income per share is calculated for the Company’s common stock and its Class B convertible participating preferred stock considering both accrued preferred stock dividends and participation rights in undistributed earnings as if</w:t>
      </w:r>
    </w:p>
    <w:p>
      <w:pPr>
        <w:sectPr>
          <w:pgSz w:w="11900" w:h="16838" w:orient="portrait"/>
          <w:cols w:equalWidth="0" w:num="1">
            <w:col w:w="11420"/>
          </w:cols>
          <w:pgMar w:left="240" w:top="125" w:right="239" w:bottom="0" w:gutter="0" w:footer="0" w:header="0"/>
        </w:sectPr>
      </w:pPr>
    </w:p>
    <w:bookmarkStart w:id="4" w:name="page5"/>
    <w:bookmarkEnd w:id="4"/>
    <w:p>
      <w:pPr>
        <w:ind w:right="260"/>
        <w:spacing w:after="0" w:line="312" w:lineRule="auto"/>
        <w:rPr>
          <w:sz w:val="20"/>
          <w:szCs w:val="20"/>
          <w:color w:val="auto"/>
        </w:rPr>
      </w:pPr>
      <w:r>
        <w:rPr>
          <w:rFonts w:ascii="Arial" w:cs="Arial" w:eastAsia="Arial" w:hAnsi="Arial"/>
          <w:sz w:val="16"/>
          <w:szCs w:val="16"/>
          <w:color w:val="auto"/>
        </w:rPr>
        <w:t>all such earnings had been distributed during the year. Since the Company’s Class B convertible participating preferred stock was not contractually responsible to share in the Company’s losses, in applying the two-class method to compute basic net income per common share, no allocation was made to the Class B preferred stock if a net loss existed or if an undistributed net loss resulted from reducing net income by the accrued preferred stock dividends.</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Diluted net income (loss) per common share for the common stock is computed by dividing net income (loss) by the sum of the weighted-average number of common shares, dilutive common share equivalents then outstanding using the treasury stock method and, prior to August 15, 2005, the assumed conversion of the Class B convertible participating preferred stock to common shares (if-converted method). If the if-converted method was anti-dilutive (that is, the if-converted method resulted in a higher net income per common share amount than basic net income per share calculated under the two-class method), then the two-class method was used to compute diluted net income (loss) per common share, including the effect of common share equivalents. Common share equivalents consist of the incremental common shares issuable upon the exercise of stock options and warrants.</w:t>
      </w:r>
    </w:p>
    <w:p>
      <w:pPr>
        <w:spacing w:after="0" w:line="16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the above calculations resulted in a net loss available to common stockholders (due to a net loss for the period or the effect of accrued preferred stock dividends) and if the effect of including common share equivalents and the assumed conversion of preferred stock, or use of the two-class method, was anti-dilutive, then diluted net loss per common share would equal basic net loss per common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table below reflects the calculation of weighted-average shares outstanding for each period presented as well as the computation of basic and diluted net income (loss) per common share: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January 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5,099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6,484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Numerator for basic and diluted net income per common share—income</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(loss) available to common stockholders under the two-class method</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2"/>
              </w:rPr>
              <w:t>Numerator for diluted net income per common share—income available to</w:t>
            </w: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2,462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6,484</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common stockholders after assumed conversion of preferred stock</w:t>
            </w:r>
          </w:p>
        </w:tc>
        <w:tc>
          <w:tcPr>
            <w:tcW w:w="12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Borders>
              <w:top w:val="single" w:sz="8" w:color="CCEEFF"/>
            </w:tcBorders>
          </w:tcPr>
          <w:p>
            <w:pPr>
              <w:ind w:left="160"/>
              <w:spacing w:after="0" w:line="189" w:lineRule="exact"/>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Denominator for basic net income (loss) per common share—weighted-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shares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16,546,681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6,188,903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11,649,073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6,188,903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of dilution due to employee stock options and 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1,129,546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2,835,457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785,636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2,810,892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dilution due to convertible preferred stock*</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1,846,395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872,472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Pr>
          <w:p>
            <w:pPr>
              <w:spacing w:after="0" w:line="182" w:lineRule="exact"/>
              <w:rPr>
                <w:sz w:val="20"/>
                <w:szCs w:val="20"/>
                <w:color w:val="auto"/>
              </w:rPr>
            </w:pPr>
            <w:r>
              <w:rPr>
                <w:rFonts w:ascii="Arial" w:cs="Arial" w:eastAsia="Arial" w:hAnsi="Arial"/>
                <w:sz w:val="18"/>
                <w:szCs w:val="18"/>
                <w:color w:val="auto"/>
                <w:w w:val="95"/>
              </w:rPr>
              <w:t>Denominator for diluted net income (loss) per common share—adjusted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17,676,227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10,870,755</w:t>
            </w:r>
          </w:p>
        </w:tc>
        <w:tc>
          <w:tcPr>
            <w:tcW w:w="16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13,307,181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10,846,190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weighted-average 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August 15, 2005 (see Note 13).</w:t>
      </w:r>
    </w:p>
    <w:p>
      <w:pPr>
        <w:spacing w:after="0" w:line="225" w:lineRule="exact"/>
        <w:rPr>
          <w:sz w:val="20"/>
          <w:szCs w:val="20"/>
          <w:color w:val="auto"/>
        </w:rPr>
      </w:pPr>
    </w:p>
    <w:p>
      <w:pPr>
        <w:ind w:right="100" w:firstLine="8"/>
        <w:spacing w:after="0" w:line="264" w:lineRule="auto"/>
        <w:tabs>
          <w:tab w:leader="none" w:pos="486"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Since the Company’s Class B convertible participating preferred stock was not contractually responsible to share in the Company’s losses, in applying the two-class method to compute basic net income per common share, no allocation was made to the Class B preferred stock if an undistributed net loss resulted from reducing net income by the preferred stock dividends.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Inventories are stated at the lower of cost or market, using the first-in, first-out method, and are summarized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8,159</w:t>
            </w:r>
          </w:p>
        </w:tc>
        <w:tc>
          <w:tcPr>
            <w:tcW w:w="2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29,618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27,959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105,104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229" w:lineRule="exact"/>
        <w:rPr>
          <w:sz w:val="20"/>
          <w:szCs w:val="20"/>
          <w:color w:val="auto"/>
        </w:rPr>
      </w:pPr>
    </w:p>
    <w:p>
      <w:pPr>
        <w:jc w:val="both"/>
        <w:ind w:right="560" w:firstLine="648"/>
        <w:spacing w:after="0" w:line="277" w:lineRule="auto"/>
        <w:rPr>
          <w:sz w:val="20"/>
          <w:szCs w:val="20"/>
          <w:color w:val="auto"/>
        </w:rPr>
      </w:pPr>
      <w:r>
        <w:rPr>
          <w:rFonts w:ascii="Arial" w:cs="Arial" w:eastAsia="Arial" w:hAnsi="Arial"/>
          <w:sz w:val="18"/>
          <w:szCs w:val="18"/>
          <w:color w:val="auto"/>
        </w:rPr>
        <w:t>The components of comprehensive income that relate to the Company are net income, foreign currency translation adjustments and minimum pension liability. Total comprehensive income is as follows:</w:t>
      </w:r>
    </w:p>
    <w:p>
      <w:pPr>
        <w:spacing w:after="0" w:line="162" w:lineRule="exact"/>
        <w:rPr>
          <w:sz w:val="20"/>
          <w:szCs w:val="20"/>
          <w:color w:val="auto"/>
        </w:rPr>
      </w:pPr>
    </w:p>
    <w:tbl>
      <w:tblPr>
        <w:tblLayout w:type="fixed"/>
        <w:tblInd w:w="5160" w:type="dxa"/>
        <w:tblCellMar>
          <w:top w:w="0" w:type="dxa"/>
          <w:left w:w="0" w:type="dxa"/>
          <w:bottom w:w="0" w:type="dxa"/>
          <w:right w:w="0" w:type="dxa"/>
        </w:tblCellMar>
      </w:tblPr>
      <w:tr>
        <w:trPr>
          <w:trHeight w:val="171"/>
        </w:trPr>
        <w:tc>
          <w:tcPr>
            <w:tcW w:w="3200" w:type="dxa"/>
            <w:vAlign w:val="bottom"/>
            <w:gridSpan w:val="4"/>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3"/>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160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160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r>
      <w:tr>
        <w:trPr>
          <w:trHeight w:val="171"/>
        </w:trPr>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0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6,484</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699</w:t>
            </w: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w:t>
            </w:r>
          </w:p>
        </w:tc>
        <w:tc>
          <w:tcPr>
            <w:tcW w:w="5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accounts for options and warrants granted to employees using the intrinsic value method pursuant to APB No. 25, “Accounting for Stock Issued to Employees,” under which compensation cost is recognized only if the exercise price of grants issued is below the fair market value of the Company’s common stock at the date of grant. Had compensation cost for these grants been determined based on the fair value at the grant dates consistent with SFAS No. 123, “Accounting for Stock-Based Compensation,” the Company’s net income would have been reduced to the following pro forma amounts: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8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4"/>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w w:val="97"/>
              </w:rPr>
              <w:t>Plus: stock-based compensation expense included in reported net</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0"/>
              <w:spacing w:after="0"/>
              <w:rPr>
                <w:sz w:val="20"/>
                <w:szCs w:val="20"/>
                <w:color w:val="auto"/>
              </w:rPr>
            </w:pPr>
            <w:r>
              <w:rPr>
                <w:rFonts w:ascii="Arial" w:cs="Arial" w:eastAsia="Arial" w:hAnsi="Arial"/>
                <w:sz w:val="18"/>
                <w:szCs w:val="18"/>
                <w:color w:val="auto"/>
              </w:rPr>
              <w:t>income, net of tax</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stock-based compensation expense determined under fair</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value method, net of tax</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 per common share, as reported: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 per common share, pro forma:</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fair value for the Company’s options and warrants was estimated at the date of grant using the Black-Scholes option pricing model with the following weighted-average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40" w:type="dxa"/>
            <w:vAlign w:val="bottom"/>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4"/>
          </w:tcPr>
          <w:p>
            <w:pPr>
              <w:ind w:left="8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60" w:type="dxa"/>
            <w:vAlign w:val="bottom"/>
          </w:tcPr>
          <w:p>
            <w:pPr>
              <w:spacing w:after="0"/>
              <w:rPr>
                <w:sz w:val="10"/>
                <w:szCs w:val="10"/>
                <w:color w:val="auto"/>
              </w:rPr>
            </w:pPr>
          </w:p>
        </w:tc>
        <w:tc>
          <w:tcPr>
            <w:tcW w:w="1120" w:type="dxa"/>
            <w:vAlign w:val="bottom"/>
            <w:tcBorders>
              <w:top w:val="single" w:sz="8" w:color="auto"/>
            </w:tcBorders>
          </w:tcPr>
          <w:p>
            <w:pPr>
              <w:jc w:val="center"/>
              <w:ind w:left="17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left="211"/>
              <w:spacing w:after="0" w:line="119" w:lineRule="exact"/>
              <w:rPr>
                <w:sz w:val="20"/>
                <w:szCs w:val="20"/>
                <w:color w:val="auto"/>
              </w:rPr>
            </w:pPr>
            <w:r>
              <w:rPr>
                <w:rFonts w:ascii="Arial" w:cs="Arial" w:eastAsia="Arial" w:hAnsi="Arial"/>
                <w:sz w:val="13"/>
                <w:szCs w:val="13"/>
                <w:b w:val="1"/>
                <w:bCs w:val="1"/>
                <w:color w:val="auto"/>
              </w:rPr>
              <w:t>January 1,</w:t>
            </w: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Borders>
              <w:top w:val="single" w:sz="8" w:color="auto"/>
            </w:tcBorders>
            <w:gridSpan w:val="2"/>
          </w:tcPr>
          <w:p>
            <w:pPr>
              <w:ind w:left="26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ind w:left="340"/>
              <w:spacing w:after="0" w:line="119" w:lineRule="exact"/>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0"/>
                <w:szCs w:val="10"/>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87"/>
              </w:rPr>
              <w:t>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Expected weighted-average life</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7.0</w:t>
            </w:r>
          </w:p>
        </w:tc>
        <w:tc>
          <w:tcPr>
            <w:tcW w:w="1060" w:type="dxa"/>
            <w:vAlign w:val="bottom"/>
          </w:tcPr>
          <w:p>
            <w:pPr>
              <w:spacing w:after="0"/>
              <w:rPr>
                <w:sz w:val="18"/>
                <w:szCs w:val="18"/>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7.0</w:t>
            </w:r>
          </w:p>
        </w:tc>
        <w:tc>
          <w:tcPr>
            <w:tcW w:w="1520" w:type="dxa"/>
            <w:vAlign w:val="bottom"/>
            <w:gridSpan w:val="2"/>
          </w:tcPr>
          <w:p>
            <w:pPr>
              <w:ind w:left="1140"/>
              <w:spacing w:after="0"/>
              <w:rPr>
                <w:sz w:val="20"/>
                <w:szCs w:val="20"/>
                <w:color w:val="auto"/>
              </w:rPr>
            </w:pPr>
            <w:r>
              <w:rPr>
                <w:rFonts w:ascii="Arial" w:cs="Arial" w:eastAsia="Arial" w:hAnsi="Arial"/>
                <w:sz w:val="18"/>
                <w:szCs w:val="18"/>
                <w:color w:val="auto"/>
              </w:rPr>
              <w:t>3.0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3.5%</w:t>
            </w: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87"/>
              </w:rPr>
              <w:t>3.5%</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0.3%</w:t>
            </w:r>
          </w:p>
        </w:tc>
        <w:tc>
          <w:tcPr>
            <w:tcW w:w="1060" w:type="dxa"/>
            <w:vAlign w:val="bottom"/>
          </w:tcPr>
          <w:p>
            <w:pPr>
              <w:spacing w:after="0"/>
              <w:rPr>
                <w:sz w:val="20"/>
                <w:szCs w:val="20"/>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0.3%</w:t>
            </w:r>
          </w:p>
        </w:tc>
        <w:tc>
          <w:tcPr>
            <w:tcW w:w="1520" w:type="dxa"/>
            <w:vAlign w:val="bottom"/>
            <w:gridSpan w:val="2"/>
          </w:tcPr>
          <w:p>
            <w:pPr>
              <w:ind w:left="1140"/>
              <w:spacing w:after="0"/>
              <w:rPr>
                <w:sz w:val="20"/>
                <w:szCs w:val="20"/>
                <w:color w:val="auto"/>
              </w:rPr>
            </w:pPr>
            <w:r>
              <w:rPr>
                <w:rFonts w:ascii="Arial" w:cs="Arial" w:eastAsia="Arial" w:hAnsi="Arial"/>
                <w:sz w:val="18"/>
                <w:szCs w:val="18"/>
                <w:color w:val="auto"/>
                <w:w w:val="87"/>
              </w:rPr>
              <w:t>0.1%</w:t>
            </w:r>
          </w:p>
        </w:tc>
      </w:tr>
    </w:tbl>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Black-Scholes option pricing model was developed for use in estimating the fair value of traded options and warrants which have no vesting restrictions and are fully transferable. In addition, option and warrant valuation models require the input of highly subjective assumptions, including the expected stock price volatility. Because the Company’s warrants have characteristics significantly different from those of traded options and warrants, and because changes in the subjective input assumptions can materially affect the fair value estimate, the existing models do not necessarily provide a reliable single measure of the fair value of its options and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June 29, 2004, the Company closed a $210,000 debt refinancing agreement (the “Credit Facility”) led and arranged by General Electric Capital Corporation. The agreement provided a $55,000 revolving credit agreement (the “Revolving Credit Facility”), a $110,000 term loan (the “Term Loan”), and a $45,000 second lien term loan (the “SCIL Loan”). Each loan was secured by a lien against substantially all of the assets of the Company and subjected the Company to standard affirmative and negative covenants, as well as financial leverage tests. The proceeds were used to refinance the then existing senior credit facility and to redeem outstanding debt. Most notably, concurrently with funding, the Company issued a notice of redemption to the noteholders of the 9</w:t>
      </w:r>
      <w:r>
        <w:rPr>
          <w:rFonts w:ascii="Arial" w:cs="Arial" w:eastAsia="Arial" w:hAnsi="Arial"/>
          <w:sz w:val="30"/>
          <w:szCs w:val="30"/>
          <w:color w:val="auto"/>
          <w:vertAlign w:val="superscript"/>
        </w:rPr>
        <w:t>5</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Subordinated Notes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issued pursuant to an indenture and due June 15, 2007. The requisite funds, approximately $113,000 (101.6041% of the principal amount), were irrevocably put on deposit with the trustee, Bank of New York, for redemption on July 29, 2004. This amount included a redemption premium of $1,765 that was recorded as a loss on extinguishment of debt, as was $4,297 in unamortized deferred finance fees associated with this debt and $882 in interest expense during the call period. Deferred finance fees of $4,516 were capitalized associated with the new debt refinancing arrangement.</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Revolving Credit Facility bore interest at a floating rate of either the higher of the base rate on corporate loans or the federal funds rate plus 50 basis points, plus 1.75%; or LIBOR plus 3.00%. The Company had the right to elect the applicable interest rate on the Revolving Credit Facility. The Term Loan bore interest at a floating rate of either the higher of the base rate on corporate loans or the federal funds rate plus 50 basis points, plus 2.50%; or LIBOR plus 3.75%. The Company had the right to elect the applicable interest rate on the Term Loan. The SCIL Loan bore interest at a floating rate of either the higher of the base rate on corporate loans or the federal funds rate plus 50 basis points, plus 7.25%; or LIBOR plus 8.50%. The Company had the right to elect the applicable interest rate on the SCIL Loan.</w:t>
      </w:r>
    </w:p>
    <w:p>
      <w:pPr>
        <w:sectPr>
          <w:pgSz w:w="11900" w:h="16838" w:orient="portrait"/>
          <w:cols w:equalWidth="0" w:num="1">
            <w:col w:w="11420"/>
          </w:cols>
          <w:pgMar w:left="240" w:top="140" w:right="239" w:bottom="27" w:gutter="0" w:footer="0" w:header="0"/>
        </w:sectPr>
      </w:pPr>
    </w:p>
    <w:bookmarkStart w:id="6" w:name="page7"/>
    <w:bookmarkEnd w:id="6"/>
    <w:p>
      <w:pPr>
        <w:ind w:right="160" w:firstLine="648"/>
        <w:spacing w:after="0" w:line="270" w:lineRule="auto"/>
        <w:rPr>
          <w:sz w:val="20"/>
          <w:szCs w:val="20"/>
          <w:color w:val="auto"/>
        </w:rPr>
      </w:pPr>
      <w:r>
        <w:rPr>
          <w:rFonts w:ascii="Arial" w:cs="Arial" w:eastAsia="Arial" w:hAnsi="Arial"/>
          <w:sz w:val="17"/>
          <w:szCs w:val="17"/>
          <w:color w:val="auto"/>
        </w:rPr>
        <w:t>On August 15, 2005, the Company entered into a Fifth Amended and Restated Credit Agreement (the “Amended Credit Agreement”), among RBCA; the other Credit Parties signatory thereto; General Electric Capital Corporation, a Delaware corporation, for itself, as lender, and as agent for the lenders, concurrently with the closing of the Company’s initial public offering. Pursuant to the Amended Credit Agreement, the Company increased its term loan borrowings by approximately $40,000 from $110,000 under the term loan portion of the Amended Credit Agreement. The Amended Credit Agreement provides a $55,000 revolving credit agreement (the “Amended Revolving Credit Facility”) and a $150,000 term loan (the “Amended Term Loan”). The principal amount of the Amended Term Loan will be repaid in twenty-five (25) consecutive quarterly installments commencing December 31, 2005. As of December 31, 2005, the Company had repaid $2,375 of principal on the Amended Term Loan. Each loan is secured by a lien against substantially all of the assets of the Company and subjects the Company to standard affirmative and negative covenants, as well as financial leverage tests. As of December 31, 2005, the Company was in compliance with all such covenants.</w:t>
      </w:r>
    </w:p>
    <w:p>
      <w:pPr>
        <w:spacing w:after="0" w:line="18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Amended Revolving Credit Facility bears interest at a floating rate of either the higher of the base rate on corporate loans or the federal funds rate plus 50 basis points, plus 1.25%; or LIBOR plus 2.50%. The Company has the right to elect the applicable interest rate on the Amended Revolving Credit Facility. The Amended Term Loan bears interest at a floating rate of either the higher of the base rate on corporate loans or the federal rate plus 50 basis points, plus 1.50%; or LIBOR plus 2.75%. The Company has the right to elect the applicable interest rate on the Amended Term Loan. As of December 31, 2005, the weighted average interest rate on the outstanding Amended Credit Facility was 7.04%.</w:t>
      </w:r>
    </w:p>
    <w:p>
      <w:pPr>
        <w:spacing w:after="0" w:line="17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Approximately $20,613 of the Amended Revolving Credit Facility is being utilized to provide letters of credit to secure RBCA’s obligations relating to certain Industrial Development Revenue Bonds and insurance programs. As of December 31, 2005, the Company had the ability to borrow up to an additional $34,387 under the Amended Revolving Credit Facility.</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proceeds of the initial public offering and additional term loan borrowings under the Amended Credit Agreement were used to redeem outstanding debt. Concurrently with the funding, the Company issued a notice of redemption to the note holders of the 13% Senior Subordinated Discount Debentures due June 15, 2009. The requisite funds, approximately $40,235, were irrevocably put on deposit with the trustee, Bank of New York, for redemption and were subsequently redeemed on September 13, 2005. This amount included a redemption premium of $1,253, a prepayment fee of $3, and interest expense for the call period of $418. These amounts along with $851 of unamortized deferred finance fees and debt discount associated with this debt were recorded as a loss on extinguishment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debt. The Company also repaid approximately $45,479 on its SCIL loan, representing all of the outstanding balance under such loan. This amount included a pre-payment fee of $450 and expenses of $29. These amounts along with $767 of unamortized deferred finance fees associated with the SCIL debt were recorded as a loss in extinguishment of debt. Deferred financing fees of $1,312 were capitalized associated with the Amended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balances payable under all borrowing facilities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 Senior Subordinated Discount Debentures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Term Loan (replaced with Amended Credit Agreement)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109,175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SCIL Loan (paid as discussed above)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Revolving Credit Facility (replaced with Amended Credit Agreement)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Amended Credit Agreement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Amended Term Loan, payable in quarterly installments of $375, commencing December 31, 2005, with final</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payment of $141,375 due July 1, 2011; bears interest at variable rates, payable monthly and upon maturity at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prime or LIBOR, plus an applicable margin, at the Company’s election</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147,625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w w:val="99"/>
              </w:rPr>
              <w:t>Amended Revolving Credit Facility; bears interest at variable rates, payable monthly and upon maturity at</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prime or LIBOR, plus an applicable margin, at the Company’s election</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Swiss Credit Facility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Term Loan, payable in semi-annual installments ranging from approximately $400, commencing March 31,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2004, to approximately $1,000 from September 30, 2005, with final payment due March 31, 2009; bears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at variable rates, plus an applicable margin, payable quarterly</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Loans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Industrial Development Revenue Bonds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tcPr>
          <w:p>
            <w:pPr>
              <w:spacing w:after="0" w:line="201" w:lineRule="exact"/>
              <w:rPr>
                <w:sz w:val="20"/>
                <w:szCs w:val="20"/>
                <w:color w:val="auto"/>
              </w:rPr>
            </w:pPr>
            <w:r>
              <w:rPr>
                <w:rFonts w:ascii="Arial" w:cs="Arial" w:eastAsia="Arial" w:hAnsi="Arial"/>
                <w:sz w:val="18"/>
                <w:szCs w:val="18"/>
                <w:color w:val="auto"/>
              </w:rPr>
              <w:t>Series 1994 A, due in annual installments of $180 beginning September 1, 2006, graduating to $815 on</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w w:val="95"/>
              </w:rPr>
              <w:t>September 1, 2014, with final payment due on September 1, 2017; bears interest at a variable rate, payable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monthly through September 2017</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7,700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Series 1994 B, bears interest at a variable rate, payable monthly through December 2017</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Series 1998, bears interest at variable rates, payable monthly through December 2021</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Series 1999, bearing interest at variable rates, payable monthly through April 2024</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current portion of long-term debt as of December 31, 2005 and April 2, 2005 includes $0 and $5,000, respectively, of borrowings on the revolving credit facilities.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7. Disposal of Fixed Assets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the nine month periods ended December 31, 2005 and January 1, 2005, the Company had a non-cash charge of $30 and $1,841, respectively, on the loss on sale and disposal of property, plant and equipment related to the consolidation of production lines and outsourcing certain components to low-cost producers.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effective income tax rates for the three month periods ended December 31, 2005 and January 1, 2005 were 34.7% and 40.4%, respectively. The effective income tax rates for the nine month periods ended December 31, 2005 and January 1, 2005 were 34.7% and 36.9%, respectively.</w:t>
      </w:r>
    </w:p>
    <w:p>
      <w:pPr>
        <w:spacing w:after="0" w:line="12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change in the effective income tax rates from period to period is mostly due to changes in the allocation between domestic and foreign earnings, primarily the result of the loss on early extinguishment of debt and the one-time special compensation payment (see Note 11).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 has noncontributory defined benefit pension plans covering union employees in its Heim division plant in Fairfield, Connecticut, its Nice subsidiary plant in Kulpsville, Pennsylvania, its Bremen subsidiary plant in Plymouth, Indiana and its Tyson subsidiary plant in Glasgow, Kentucky.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illustrate the components of net periodic benefit cost for the Company’s pension and other postretirement benefits.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89"/>
              </w:rPr>
              <w:t>Pension Benefits</w:t>
            </w:r>
          </w:p>
        </w:tc>
        <w:tc>
          <w:tcPr>
            <w:tcW w:w="180" w:type="dxa"/>
            <w:vAlign w:val="bottom"/>
          </w:tcPr>
          <w:p>
            <w:pPr>
              <w:spacing w:after="0"/>
              <w:rPr>
                <w:sz w:val="14"/>
                <w:szCs w:val="1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Pension Benefits</w:t>
            </w:r>
          </w:p>
        </w:tc>
        <w:tc>
          <w:tcPr>
            <w:tcW w:w="20" w:type="dxa"/>
            <w:vAlign w:val="bottom"/>
          </w:tcPr>
          <w:p>
            <w:pPr>
              <w:spacing w:after="0"/>
              <w:rPr>
                <w:sz w:val="14"/>
                <w:szCs w:val="14"/>
                <w:color w:val="auto"/>
              </w:rPr>
            </w:pPr>
          </w:p>
        </w:tc>
      </w:tr>
      <w:tr>
        <w:trPr>
          <w:trHeight w:val="17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6"/>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losses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7"/>
        </w:trPr>
        <w:tc>
          <w:tcPr>
            <w:tcW w:w="5160" w:type="dxa"/>
            <w:vAlign w:val="bottom"/>
          </w:tcPr>
          <w:p>
            <w:pPr>
              <w:ind w:left="180"/>
              <w:spacing w:after="0"/>
              <w:rPr>
                <w:sz w:val="20"/>
                <w:szCs w:val="20"/>
                <w:color w:val="auto"/>
              </w:rPr>
            </w:pPr>
            <w:r>
              <w:rPr>
                <w:rFonts w:ascii="Arial" w:cs="Arial" w:eastAsia="Arial" w:hAnsi="Arial"/>
                <w:sz w:val="18"/>
                <w:szCs w:val="18"/>
                <w:color w:val="auto"/>
              </w:rPr>
              <w:t>Total net periodic benefit cost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4"/>
              </w:rPr>
              <w:t>Other Postretirement</w:t>
            </w:r>
          </w:p>
        </w:tc>
        <w:tc>
          <w:tcPr>
            <w:tcW w:w="18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Other Postretirement</w:t>
            </w:r>
          </w:p>
        </w:tc>
        <w:tc>
          <w:tcPr>
            <w:tcW w:w="20" w:type="dxa"/>
            <w:vAlign w:val="bottom"/>
          </w:tcPr>
          <w:p>
            <w:pPr>
              <w:spacing w:after="0"/>
              <w:rPr>
                <w:sz w:val="24"/>
                <w:szCs w:val="24"/>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jc w:val="center"/>
              <w:ind w:left="879"/>
              <w:spacing w:after="0" w:line="149" w:lineRule="exact"/>
              <w:rPr>
                <w:sz w:val="20"/>
                <w:szCs w:val="20"/>
                <w:color w:val="auto"/>
              </w:rPr>
            </w:pPr>
            <w:r>
              <w:rPr>
                <w:rFonts w:ascii="Arial" w:cs="Arial" w:eastAsia="Arial" w:hAnsi="Arial"/>
                <w:sz w:val="14"/>
                <w:szCs w:val="14"/>
                <w:b w:val="1"/>
                <w:bCs w:val="1"/>
                <w:color w:val="auto"/>
                <w:w w:val="90"/>
              </w:rPr>
              <w:t>Benefits</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tcPr>
          <w:p>
            <w:pPr>
              <w:jc w:val="center"/>
              <w:ind w:left="859"/>
              <w:spacing w:after="0" w:line="149" w:lineRule="exact"/>
              <w:rPr>
                <w:sz w:val="20"/>
                <w:szCs w:val="20"/>
                <w:color w:val="auto"/>
              </w:rPr>
            </w:pPr>
            <w:r>
              <w:rPr>
                <w:rFonts w:ascii="Arial" w:cs="Arial" w:eastAsia="Arial" w:hAnsi="Arial"/>
                <w:sz w:val="14"/>
                <w:szCs w:val="14"/>
                <w:b w:val="1"/>
                <w:bCs w:val="1"/>
                <w:color w:val="auto"/>
                <w:w w:val="86"/>
              </w:rPr>
              <w:t>Benefits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8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r>
      <w:tr>
        <w:trPr>
          <w:trHeight w:val="119"/>
        </w:trPr>
        <w:tc>
          <w:tcPr>
            <w:tcW w:w="5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56"/>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176"/>
              <w:spacing w:after="0" w:line="119" w:lineRule="exact"/>
              <w:rPr>
                <w:sz w:val="20"/>
                <w:szCs w:val="20"/>
                <w:color w:val="auto"/>
              </w:rPr>
            </w:pPr>
            <w:r>
              <w:rPr>
                <w:rFonts w:ascii="Arial" w:cs="Arial" w:eastAsia="Arial" w:hAnsi="Arial"/>
                <w:sz w:val="13"/>
                <w:szCs w:val="13"/>
                <w:b w:val="1"/>
                <w:bCs w:val="1"/>
                <w:color w:val="auto"/>
              </w:rPr>
              <w:t>January 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Components of net periodic benefit cost: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Prior service cost amortization</w:t>
            </w:r>
          </w:p>
        </w:tc>
        <w:tc>
          <w:tcPr>
            <w:tcW w:w="1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 of loss recognized</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r>
      <w:tr>
        <w:trPr>
          <w:trHeight w:val="217"/>
        </w:trPr>
        <w:tc>
          <w:tcPr>
            <w:tcW w:w="5160" w:type="dxa"/>
            <w:vAlign w:val="bottom"/>
          </w:tcPr>
          <w:p>
            <w:pPr>
              <w:ind w:left="180"/>
              <w:spacing w:after="0"/>
              <w:rPr>
                <w:sz w:val="20"/>
                <w:szCs w:val="20"/>
                <w:color w:val="auto"/>
              </w:rPr>
            </w:pPr>
            <w:r>
              <w:rPr>
                <w:rFonts w:ascii="Arial" w:cs="Arial" w:eastAsia="Arial" w:hAnsi="Arial"/>
                <w:sz w:val="18"/>
                <w:szCs w:val="18"/>
                <w:color w:val="auto"/>
              </w:rPr>
              <w:t>Total net periodic benefit cost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65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Reportable Segments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Company operates through operating segments for which separate financial information is available, and for which operating results are evaluated regularly by the Company’s chief operating decision maker in determining resource allocation and assessing performance. Those operating segments with similar economic characteristics and that meet all other required criteria, including nature of the products and production processes, distribution patterns and classes of customers, are aggregated as reportable segments. Certain other operating segments do not exhibit the common attributes mentioned above and do not meet the quantitative thresholds for separate disclosure, and their information is combined and disclosed as “Other”. There is also a segment reflecting corporate charges.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four reportable business segments engaged in the manufacture and sale of the following:</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6"/>
          <w:szCs w:val="16"/>
          <w:b w:val="1"/>
          <w:bCs w:val="1"/>
          <w:i w:val="1"/>
          <w:iCs w:val="1"/>
          <w:color w:val="auto"/>
        </w:rPr>
        <w:t xml:space="preserve">Roller Bearings. </w:t>
      </w:r>
      <w:r>
        <w:rPr>
          <w:rFonts w:ascii="Arial" w:cs="Arial" w:eastAsia="Arial" w:hAnsi="Arial"/>
          <w:sz w:val="16"/>
          <w:szCs w:val="16"/>
          <w:color w:val="auto"/>
        </w:rPr>
        <w:t>Roller bearings are anti-friction bearings that use rollers instead of balls. The Company manufactures four basic types of roller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bearings: heavy duty needle roller bearings with inner rings, tapered roller bearings, track rollers and aircraft roller bearings.</w:t>
      </w:r>
    </w:p>
    <w:p>
      <w:pPr>
        <w:spacing w:after="0" w:line="211" w:lineRule="exact"/>
        <w:rPr>
          <w:sz w:val="20"/>
          <w:szCs w:val="20"/>
          <w:color w:val="auto"/>
        </w:rPr>
      </w:pPr>
    </w:p>
    <w:p>
      <w:pPr>
        <w:ind w:right="80" w:firstLine="778"/>
        <w:spacing w:after="0" w:line="264" w:lineRule="auto"/>
        <w:rPr>
          <w:sz w:val="20"/>
          <w:szCs w:val="20"/>
          <w:color w:val="auto"/>
        </w:rPr>
      </w:pPr>
      <w:r>
        <w:rPr>
          <w:rFonts w:ascii="Arial" w:cs="Arial" w:eastAsia="Arial" w:hAnsi="Arial"/>
          <w:sz w:val="18"/>
          <w:szCs w:val="18"/>
          <w:b w:val="1"/>
          <w:bCs w:val="1"/>
          <w:i w:val="1"/>
          <w:iCs w:val="1"/>
          <w:color w:val="auto"/>
        </w:rPr>
        <w:t xml:space="preserve">Plain Bearings. </w:t>
      </w:r>
      <w:r>
        <w:rPr>
          <w:rFonts w:ascii="Arial" w:cs="Arial" w:eastAsia="Arial" w:hAnsi="Arial"/>
          <w:sz w:val="18"/>
          <w:szCs w:val="18"/>
          <w:color w:val="auto"/>
        </w:rPr>
        <w:t>Plain bearings are produced with either self-lubricating or metal-to-metal designs and consist of several sub-classes, including rod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 bearings, spherical plain bearings and journal bearings. Unlike ball bearings, which are used in high-speed rotational applications, plain bearings are primarily used to rectify inevitable misalignments in various mechanical components.</w:t>
      </w:r>
    </w:p>
    <w:p>
      <w:pPr>
        <w:spacing w:after="0" w:line="181" w:lineRule="exact"/>
        <w:rPr>
          <w:sz w:val="20"/>
          <w:szCs w:val="20"/>
          <w:color w:val="auto"/>
        </w:rPr>
      </w:pPr>
    </w:p>
    <w:p>
      <w:pPr>
        <w:ind w:right="800" w:firstLine="778"/>
        <w:spacing w:after="0" w:line="277" w:lineRule="auto"/>
        <w:rPr>
          <w:sz w:val="20"/>
          <w:szCs w:val="20"/>
          <w:color w:val="auto"/>
        </w:rPr>
      </w:pPr>
      <w:r>
        <w:rPr>
          <w:rFonts w:ascii="Arial" w:cs="Arial" w:eastAsia="Arial" w:hAnsi="Arial"/>
          <w:sz w:val="18"/>
          <w:szCs w:val="18"/>
          <w:b w:val="1"/>
          <w:bCs w:val="1"/>
          <w:i w:val="1"/>
          <w:iCs w:val="1"/>
          <w:color w:val="auto"/>
        </w:rPr>
        <w:t xml:space="preserve">Ball Bearings. </w:t>
      </w:r>
      <w:r>
        <w:rPr>
          <w:rFonts w:ascii="Arial" w:cs="Arial" w:eastAsia="Arial" w:hAnsi="Arial"/>
          <w:sz w:val="18"/>
          <w:szCs w:val="18"/>
          <w:color w:val="auto"/>
        </w:rPr>
        <w:t>The Company manufactures four basic types of ball bearings: high precision aerospace, airframe control, thin section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ball bearings which are used in high-speed rotational applications.</w:t>
      </w:r>
    </w:p>
    <w:p>
      <w:pPr>
        <w:spacing w:after="0" w:line="170" w:lineRule="exact"/>
        <w:rPr>
          <w:sz w:val="20"/>
          <w:szCs w:val="20"/>
          <w:color w:val="auto"/>
        </w:rPr>
      </w:pPr>
    </w:p>
    <w:p>
      <w:pPr>
        <w:ind w:right="260" w:firstLine="778"/>
        <w:spacing w:after="0" w:line="259"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Other consists of two minor operating locations that do not fall into the above segmented categories. The Company produces precision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ground ball bearing screws at its Linear Precision Products (LPP) plant that offer repeatable positioning accuracy in machine tools, transfer lines, robotic handling and semiconductor equipment. The Company’s Schaublin location produces precision machine tool collets that provide effective part holding and accurate part location during machining operations.</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Corporate consists of expenses incurred at the corporate office.</w:t>
      </w:r>
    </w:p>
    <w:p>
      <w:pPr>
        <w:sectPr>
          <w:pgSz w:w="11900" w:h="16838" w:orient="portrait"/>
          <w:cols w:equalWidth="0" w:num="1">
            <w:col w:w="11440"/>
          </w:cols>
          <w:pgMar w:left="240" w:top="580" w:right="219" w:bottom="0" w:gutter="0" w:footer="0" w:header="0"/>
        </w:sectPr>
      </w:pPr>
    </w:p>
    <w:bookmarkStart w:id="8" w:name="page9"/>
    <w:bookmarkEnd w:id="8"/>
    <w:p>
      <w:pPr>
        <w:spacing w:after="0" w:line="4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Segment performance is evaluated based on segment net sales and operating income. Items not allocated to segment operating income include corporate administrative expenses and certain other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4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0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7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January 1,</w:t>
            </w:r>
          </w:p>
        </w:tc>
        <w:tc>
          <w:tcPr>
            <w:tcW w:w="2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January 1,</w:t>
            </w:r>
          </w:p>
        </w:tc>
        <w:tc>
          <w:tcPr>
            <w:tcW w:w="80" w:type="dxa"/>
            <w:vAlign w:val="bottom"/>
            <w:gridSpan w:val="2"/>
          </w:tcPr>
          <w:p>
            <w:pPr>
              <w:spacing w:after="0"/>
              <w:rPr>
                <w:sz w:val="10"/>
                <w:szCs w:val="10"/>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96"/>
        </w:trPr>
        <w:tc>
          <w:tcPr>
            <w:tcW w:w="47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Net External Sales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Roller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23,373</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21,031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71,193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64,643</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Plain</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22,713</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82,078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66,650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Ball</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10,334</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33,239</w:t>
            </w: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28,357</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12,248</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11,081</w:t>
            </w:r>
          </w:p>
        </w:tc>
        <w:tc>
          <w:tcPr>
            <w:tcW w:w="60" w:type="dxa"/>
            <w:vAlign w:val="bottom"/>
            <w:shd w:val="clear" w:color="auto" w:fill="CCEEFF"/>
          </w:tcPr>
          <w:p>
            <w:pPr>
              <w:spacing w:after="0"/>
              <w:rPr>
                <w:sz w:val="18"/>
                <w:szCs w:val="18"/>
                <w:color w:val="auto"/>
              </w:rPr>
            </w:pPr>
          </w:p>
        </w:tc>
      </w:tr>
      <w:tr>
        <w:trPr>
          <w:trHeight w:val="217"/>
        </w:trPr>
        <w:tc>
          <w:tcPr>
            <w:tcW w:w="47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67,390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58,145</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198,758</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170,731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Roller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5,465</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10,550</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Plain</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21,441</w:t>
            </w: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16,278</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Ball</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7,747</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5,619</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1,232</w:t>
            </w: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(3,668)</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(20,801)</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(11,626)</w:t>
            </w:r>
          </w:p>
        </w:tc>
      </w:tr>
      <w:tr>
        <w:trPr>
          <w:trHeight w:val="217"/>
        </w:trPr>
        <w:tc>
          <w:tcPr>
            <w:tcW w:w="47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16"/>
        </w:trPr>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b w:val="1"/>
                <w:bCs w:val="1"/>
                <w:color w:val="auto"/>
              </w:rPr>
              <w:t>Geographic External Sales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59,428</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50,666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177,003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151,158</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21,755</w:t>
            </w: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19,573</w:t>
            </w:r>
          </w:p>
        </w:tc>
        <w:tc>
          <w:tcPr>
            <w:tcW w:w="60" w:type="dxa"/>
            <w:vAlign w:val="bottom"/>
          </w:tcPr>
          <w:p>
            <w:pPr>
              <w:spacing w:after="0"/>
              <w:rPr>
                <w:sz w:val="18"/>
                <w:szCs w:val="18"/>
                <w:color w:val="auto"/>
              </w:rPr>
            </w:pPr>
          </w:p>
        </w:tc>
      </w:tr>
      <w:tr>
        <w:trPr>
          <w:trHeight w:val="217"/>
        </w:trPr>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170,731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Intersegment Sales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Roller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2,349</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6,751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4,821</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Plain</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Ball</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3,980</w:t>
            </w: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c>
          <w:tcPr>
            <w:tcW w:w="6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7,171</w:t>
            </w:r>
          </w:p>
        </w:tc>
        <w:tc>
          <w:tcPr>
            <w:tcW w:w="60" w:type="dxa"/>
            <w:vAlign w:val="bottom"/>
            <w:shd w:val="clear" w:color="auto" w:fill="CCEEFF"/>
          </w:tcPr>
          <w:p>
            <w:pPr>
              <w:spacing w:after="0"/>
              <w:rPr>
                <w:sz w:val="18"/>
                <w:szCs w:val="18"/>
                <w:color w:val="auto"/>
              </w:rPr>
            </w:pPr>
          </w:p>
        </w:tc>
      </w:tr>
      <w:tr>
        <w:trPr>
          <w:trHeight w:val="217"/>
        </w:trPr>
        <w:tc>
          <w:tcPr>
            <w:tcW w:w="47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20,999</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intersegment sales are eliminated in consolidation.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June 1997, the Company loaned Dr. Michael J. Hartnett, President and Chief Executive Officer of the Company, $500 to purchase shares of capital stock of the Company. This loan was repaid to the Company on August 15, 2005.</w:t>
      </w:r>
    </w:p>
    <w:p>
      <w:pPr>
        <w:spacing w:after="0" w:line="17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On June 13, 2005, subject to the approval of the Company’s senior lenders under the Credit Facility and Second Lien Term Loan, which was subsequently obtained, the Board of Directors agreed to pay the CEO a one-time special compensation payment of $5,200 to reimburse the CEO for taxes owed by him in connection with a previous stock sale by the CEO to Whitney. The Company’s senior lenders approved the payment on July 13, 2005. As such, the Company recorded a charge of $5,200 (classified as selling, general and administrative expense) in the second quarter of fiscal 2006. In connection with such transaction, the Company will receive a tax deduction of approximately $5,200.</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Recent Accounting Pronouncements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November 2004, the Financial Accounting Standards Board (“FASB”) issued SFAS No. 151, “Inventory Costs, an amendment of ARB No. 43, Chapter 4.” The amendments made by SFAS No. 151 clarify that abnormal amounts of idle facility expense, freight, handling costs, and wasted materials (spoilage) should be recognized as current-period charges and require the allocation of fixed production overheads to inventory based on the normal capacity of the production facilities. The guidance is effective for inventory costs incurred during fiscal years beginning after June 15, 2005. It is not believed that the adoption of SFAS No. 151 will have a material impact on the consolidated financial position, results of operations or cash flows of the Company.</w:t>
      </w:r>
    </w:p>
    <w:p>
      <w:pPr>
        <w:spacing w:after="0" w:line="15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December 2004, the FASB issued SFAS No. 123 (revised 2004), “Share-Based Payment.” SFAS No. 123(R) requires the compensation cost relating to share-based payment transactions be recognized in financial statements. That cost will be measured based on the fair value of the equity or liability instruments issued. SFAS No. 123(R) covers a wide range of share-based compensation arrangements including share options, restricted share plans, performance-based awards, share appreciation rights, and employee share purchase plans. SFAS No. 123(R) replaces FASB Statement No. 123, “Accounting for Stock-Based Compensation”, and supersedes APB Opinion No. 25, “Accounting for Stock Issued to Employees.” SFAS No. 123, as originally issued in 1995, established as preferable a fair value-based method of accounting for share-based payment transactions with employees. However, that Statement permitted entities the option of continuing to apply the guidance in APB Opinion No. 25, as long as the footnotes to financial statements disclosed what net income would have been had the preferable fair value-based method been used. Public entities are required to apply SFAS No. 123(R) as of the beginning of the first fiscal year beginning after June 15, 2005. SFAS No. 123(R) permits public companies to adopt its requirements using one of two methods:</w:t>
      </w:r>
    </w:p>
    <w:p>
      <w:pPr>
        <w:spacing w:after="0" w:line="167" w:lineRule="exact"/>
        <w:rPr>
          <w:sz w:val="20"/>
          <w:szCs w:val="20"/>
          <w:color w:val="auto"/>
        </w:rPr>
      </w:pPr>
    </w:p>
    <w:p>
      <w:pPr>
        <w:ind w:left="660" w:right="60" w:hanging="652"/>
        <w:spacing w:after="0" w:line="286" w:lineRule="auto"/>
        <w:tabs>
          <w:tab w:leader="none" w:pos="644" w:val="left"/>
        </w:tabs>
        <w:numPr>
          <w:ilvl w:val="0"/>
          <w:numId w:val="6"/>
        </w:numPr>
        <w:rPr>
          <w:rFonts w:ascii="Arial" w:cs="Arial" w:eastAsia="Arial" w:hAnsi="Arial"/>
          <w:sz w:val="17"/>
          <w:szCs w:val="17"/>
          <w:color w:val="auto"/>
        </w:rPr>
      </w:pPr>
      <w:r>
        <w:rPr>
          <w:rFonts w:ascii="Arial" w:cs="Arial" w:eastAsia="Arial" w:hAnsi="Arial"/>
          <w:sz w:val="17"/>
          <w:szCs w:val="17"/>
          <w:color w:val="auto"/>
        </w:rPr>
        <w:t>A “modified prospective” method in which compensation cost is recognized beginning with the effective date (a) based on the requirements of SFAS No. 123(R) for all share-based payments granted after the effective date and (b) based on requirements of SFAS No. 123 for all awards granted to employees prior to the effective date of SFAS No. 123(R) that remain unvested on the effective date.</w:t>
      </w:r>
    </w:p>
    <w:p>
      <w:pPr>
        <w:sectPr>
          <w:pgSz w:w="11900" w:h="16880" w:orient="portrait"/>
          <w:cols w:equalWidth="0" w:num="1">
            <w:col w:w="11420"/>
          </w:cols>
          <w:pgMar w:left="240" w:top="125" w:right="239" w:bottom="0" w:gutter="0" w:footer="0" w:header="0"/>
        </w:sectPr>
      </w:pPr>
    </w:p>
    <w:bookmarkStart w:id="9" w:name="page10"/>
    <w:bookmarkEnd w:id="9"/>
    <w:p>
      <w:pPr>
        <w:spacing w:after="0" w:line="87" w:lineRule="exact"/>
        <w:rPr>
          <w:sz w:val="20"/>
          <w:szCs w:val="20"/>
          <w:color w:val="auto"/>
        </w:rPr>
      </w:pPr>
    </w:p>
    <w:p>
      <w:pPr>
        <w:jc w:val="both"/>
        <w:ind w:left="660" w:hanging="652"/>
        <w:spacing w:after="0" w:line="291" w:lineRule="auto"/>
        <w:tabs>
          <w:tab w:leader="none" w:pos="644"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“modified retrospective” method which includes the requirements of the modified prospective method described above, but also permits entities to restate, based on the amount previously recognized under SFAS No. 123 for purpose of pro forma disclosures, either (a) all prior periods presented or</w:t>
      </w:r>
    </w:p>
    <w:p>
      <w:pPr>
        <w:ind w:left="660"/>
        <w:spacing w:after="0"/>
        <w:rPr>
          <w:rFonts w:ascii="Arial" w:cs="Arial" w:eastAsia="Arial" w:hAnsi="Arial"/>
          <w:sz w:val="16"/>
          <w:szCs w:val="16"/>
          <w:color w:val="auto"/>
        </w:rPr>
      </w:pPr>
      <w:r>
        <w:rPr>
          <w:rFonts w:ascii="Arial" w:cs="Arial" w:eastAsia="Arial" w:hAnsi="Arial"/>
          <w:sz w:val="18"/>
          <w:szCs w:val="18"/>
          <w:color w:val="auto"/>
        </w:rPr>
        <w:t>(b) prior interim periods of the year of adoption.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is required to adopt the pronouncement in fiscal 2007 and has decided to use the “modified prospective” method in applying SFAS No. 123(R). The Company is currently evaluating the effect on its consolidated results of operations and whether the adoption will result in amounts that are similar to the current pro forma disclosures under SFAS No. 123. For fiscal 2006, the Company will continue to disclose stock-based compensation information in accordance with SFAS No. 148, “Accounting for Stock-Based Compensation—Transition and Disclosure—an Amendment of FASB Statement No. 123,” and SFAS No. 123.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Initial Public Offering, Debt Refinancing and Other Transactions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August 2, 2005, the Company’s Board of Directors approved a 5-for-2 stock split of its common stock. All share and per share information in the consolidated financial statements has been retroactively restated to reflect the stock split for all periods presented.</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August 15, 2005, pursuant to the Purchase Agreement (the “Purchase Agreement”) with Merrill Lynch &amp; Co., Merrill Lynch, Pierce, Fenner &amp; Smith Incorporated, KeyBanc Capital Markets and Jefferies &amp; Company, Inc., the Company and the selling stockholders sold 10,531,200 shares of the Company’s common stock (3,496,684 sold by the selling stockholders). The offering yielded aggregate net proceeds to the Company of $92,128 after payment of the underwriting discount and offering expenses. After redemption of the Company’s Class C and Class D preferred stock for $34,630, the net proceeds to the Company were $57,498. Immediately prior to the consummation of the initial public offering, all outstanding shares of Class B preferred stock were converted in accordance with their terms into 1,846,396 shares of Class A common stock, 306,298 shares of Class C preferred stock and 240,000 shares of Class D preferred stock. All shares of Class C and Class D preferred stock were redeemed with cash or common stock as described in the subsequent paragraph and all shares of Class A and Class B common stock were reclassified as common stock on a one-for-one basis. In connection with the initial public offering, the Company filed an Amended and Restated Certificate of Incorporation (the “Amendment”). The Amendment increased the Company’s authorized capital stock to 70,000,000 shares, (i) 60,000,000 of which is common stock, $0.01 par value per share, and (ii) 10,000,000 of which is preferred stock, $0.01 par value per share.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proceeds of the offering and additional term loan borrowings under the Amended Credit Agreement (as discussed in Note 6) were used 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follows: (1) to redeem all of the Company’s outstanding 13% Senior Subordinated Discount Debentures by payment to the Bank of New York, as trustee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debentures, of a total payoff amount of approximately $40,000; (2) to redeem 293,536 shares of Class C Preferred Stock held by Whitney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RBCH Investor, LLC (“Whitney”) for an aggregate redemption price of $29,354; (3) to redeem 12,762 shares of Class C Preferred Stock held by Dr. Michael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Hartnett for an aggregate redemption price of $1,276; (4) to repurchase 230,000 shares of Class D Preferred Stock held by Whitney for an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 price of $7,667, of which $3,833 was paid in cash out of the proceeds of the offering and term loan borrowings and the balance of which was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issuance of 264,368 shares of Common Stock; (5) to repurchase 10,000 shares of Class D Preferred Stock held by Hartnett for an aggregate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$333, of which $167 was paid in cash out of the proceeds of the offering and term loan borrowings, and the balance of which was paid by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11,495 shares of Common Stock; (6) to repay approximately $45,500 of indebtedness under the Company’s second lien term loan credit facility,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represented repayment in full of all amounts owing under such facility, plus approximately $1,400 in fees and expenses in connection with such repayment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amendment; (7) to pay approximately $5,000 in mandatory prepayments under the Company’s credit facility in connection with the initial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(8) to pay $2,732 in legal, printing, accounting and other miscellaneous expenses payable in connection with the initial public offering.</w:t>
      </w:r>
    </w:p>
    <w:p>
      <w:pPr>
        <w:spacing w:after="0" w:line="211" w:lineRule="exact"/>
        <w:rPr>
          <w:sz w:val="20"/>
          <w:szCs w:val="20"/>
          <w:color w:val="auto"/>
        </w:rPr>
      </w:pPr>
    </w:p>
    <w:p>
      <w:pPr>
        <w:ind w:right="960" w:firstLine="648"/>
        <w:spacing w:after="0" w:line="308" w:lineRule="auto"/>
        <w:rPr>
          <w:sz w:val="20"/>
          <w:szCs w:val="20"/>
          <w:color w:val="auto"/>
        </w:rPr>
      </w:pPr>
      <w:r>
        <w:rPr>
          <w:rFonts w:ascii="Arial" w:cs="Arial" w:eastAsia="Arial" w:hAnsi="Arial"/>
          <w:sz w:val="17"/>
          <w:szCs w:val="17"/>
          <w:color w:val="auto"/>
        </w:rPr>
        <w:t>In addition, the Company paid monitoring fees of approximately $50 and expense reimbursements of approximately $12 pursuant to the Management Agreement with an affiliate of Whitney, and upon such payment the Management Agreement was terminated.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in this discussion contains forward-looking statements within the meaning of Section 27A of the Securities Act of 1933 and Section 21E of the Securities Exchange Act of 1934 which are subject to the “safe harbor” created by those sections. All statements, other than statements of historical facts, included in this quarterly report on Form 10-Q regarding our strategy, future operations, future financial position, future revenues, projected costs, prospects and plans and objectives of management are forward-looking statements as the term is defined in the Private Securities Litigation Reform Act of 1995.</w:t>
      </w:r>
    </w:p>
    <w:p>
      <w:pPr>
        <w:spacing w:after="0" w:line="18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outlined under the heading “Risk Factors” set forth in the Company’s registration statement on Form S-1 initially filed on May 11, 2005, as amended. Our forward-looking statements do not reflect the potential impact of any future acquisitions, mergers, dispositions, joint ventures or investments we may make. We do not assume any obligation to update any forward-looking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are a well known international manufacturer of highly engineered precision plain, roller and ball bearings. Our precision solutions are integral to the manufacture and operation of most machines and mechanical systems, reduce wear to moving parts, facilitate proper power transmission and reduce damage and energy loss caused by friction. While we manufacture products in all major bearing categories, we focus primarily on the higher end of the</w:t>
      </w:r>
    </w:p>
    <w:p>
      <w:pPr>
        <w:sectPr>
          <w:pgSz w:w="11900" w:h="16925" w:orient="portrait"/>
          <w:cols w:equalWidth="0" w:num="1">
            <w:col w:w="11420"/>
          </w:cols>
          <w:pgMar w:left="240" w:top="341" w:right="239" w:bottom="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bearing market where we believe our value-added manufacturing and engineering capabilities enable us to differentiate ourselves from our competitors and enhance profitability. We have been providing bearing solutions to our customers since 1919. Over the past ten years, under the leadership of our current management team, we have significantly broadened our end markets, products, customer base and geographic reach. We currently operate 17 manufacturing facilities in three countries.</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Demand for bearings generally follows the market for products in which bearings are incorporated and the economy as a whole. Purchasers of bearings include industrial equipment and machinery manufacturers, producers of commercial and military aerospace equipment such as missiles and radar systems, agricultural machinery manufacturers, construction and specialized equipment manufacturers and automotive and commercial truck manufacturers. The markets for our products are cyclical, and general market conditions could negatively impact our operating results. We have endeavored to mitigate the cyclicality of our product markets by entering into sole-source relationships and long-term purchase orders, through diversification across multiple market segments within the aerospace, defense and diversified industrial segments, by increasing sales to the aftermarket and by focusing on developing highly customized solutions.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Backlog as of December 31, 2005 was $152.6 million versus $133.8 million for the same period last year. The Company continues to see positive momentum from the diversified industrial, aerospace, and defense markets. Management believes that operating cash flows and available credit under the new amended senior revolving credit facility will provide adequate resources to fund internal and external growth initiatives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sets forth the various components of the Company’s consolidated statements of operations, expressed as a percentage of net sales, for the periods indicated that are used in connection with the discussion herein.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1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Three-Months Ended</w:t>
            </w:r>
          </w:p>
        </w:tc>
        <w:tc>
          <w:tcPr>
            <w:tcW w:w="310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6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jc w:val="right"/>
              <w:ind w:right="273"/>
              <w:spacing w:after="0" w:line="119" w:lineRule="exact"/>
              <w:rPr>
                <w:sz w:val="20"/>
                <w:szCs w:val="20"/>
                <w:color w:val="auto"/>
              </w:rPr>
            </w:pPr>
            <w:r>
              <w:rPr>
                <w:rFonts w:ascii="Arial" w:cs="Arial" w:eastAsia="Arial" w:hAnsi="Arial"/>
                <w:sz w:val="13"/>
                <w:szCs w:val="13"/>
                <w:b w:val="1"/>
                <w:bCs w:val="1"/>
                <w:color w:val="auto"/>
              </w:rPr>
              <w:t>January 1,</w:t>
            </w:r>
          </w:p>
        </w:tc>
        <w:tc>
          <w:tcPr>
            <w:tcW w:w="220" w:type="dxa"/>
            <w:vAlign w:val="bottom"/>
          </w:tcPr>
          <w:p>
            <w:pPr>
              <w:spacing w:after="0"/>
              <w:rPr>
                <w:sz w:val="10"/>
                <w:szCs w:val="10"/>
                <w:color w:val="auto"/>
              </w:rPr>
            </w:pPr>
          </w:p>
        </w:tc>
        <w:tc>
          <w:tcPr>
            <w:tcW w:w="158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December 31,</w:t>
            </w:r>
          </w:p>
        </w:tc>
        <w:tc>
          <w:tcPr>
            <w:tcW w:w="1360" w:type="dxa"/>
            <w:vAlign w:val="bottom"/>
            <w:tcBorders>
              <w:top w:val="single" w:sz="8" w:color="auto"/>
            </w:tcBorders>
          </w:tcPr>
          <w:p>
            <w:pPr>
              <w:jc w:val="right"/>
              <w:ind w:right="273"/>
              <w:spacing w:after="0" w:line="119" w:lineRule="exact"/>
              <w:rPr>
                <w:sz w:val="20"/>
                <w:szCs w:val="20"/>
                <w:color w:val="auto"/>
              </w:rPr>
            </w:pPr>
            <w:r>
              <w:rPr>
                <w:rFonts w:ascii="Arial" w:cs="Arial" w:eastAsia="Arial" w:hAnsi="Arial"/>
                <w:sz w:val="13"/>
                <w:szCs w:val="13"/>
                <w:b w:val="1"/>
                <w:bCs w:val="1"/>
                <w:color w:val="auto"/>
              </w:rPr>
              <w:t>January 1,</w:t>
            </w:r>
          </w:p>
        </w:tc>
        <w:tc>
          <w:tcPr>
            <w:tcW w:w="160" w:type="dxa"/>
            <w:vAlign w:val="bottom"/>
          </w:tcPr>
          <w:p>
            <w:pPr>
              <w:spacing w:after="0"/>
              <w:rPr>
                <w:sz w:val="10"/>
                <w:szCs w:val="10"/>
                <w:color w:val="auto"/>
              </w:rPr>
            </w:pPr>
          </w:p>
        </w:tc>
      </w:tr>
      <w:tr>
        <w:trPr>
          <w:trHeight w:val="171"/>
        </w:trPr>
        <w:tc>
          <w:tcPr>
            <w:tcW w:w="51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 Period Ended December 31, 2005 Compared to Three Month Period Ended January 1,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 period ended December 31, 2005 were $67.4 million, an increase of $9.3 million, or 16.0%,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$58.1 million for the comparable period in fiscal 2005. During the three month period ended December 31, 2005, the Company experienced net sales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its three major segments, driven by demand across end markets as well as continued efforts to supply new products to existing and new customers. Overall,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sales to our diversified industrial customers grew 7.5% in the third quarter fiscal 2006 compared to the same period last year. This was principally driven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aftermarket and OEM demand in construction, mining, semiconductor, and general industrial applications. Net sales to aerospace and defense customers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grew 28.9% in the third quarter fiscal 2006 compared to the same period last year, driven mainly by commercial and military aerospace aftermarket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OEM demand.</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Plain Bearing segment achieved net sales of $28.5 million for the three month period ended December 31, 2005, an increase of $5.8 million, or 25.6%, compared to $22.7 million for the comparable period in the prior year. Net sales to diversified industrial customers accounted for $2.0 million of the increase, driven primarily by strong demand in the construction and mining heavy equipment sectors and strong aftermarket demand. The commercial and military aerospace market accounted for $3.8 million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increase due to an increase in airframe and aerospace bearing shipments to aircraft manufacturers and continued demand for aftermarket product.</w:t>
      </w:r>
    </w:p>
    <w:p>
      <w:pPr>
        <w:spacing w:after="0" w:line="23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Roller Bearing segment achieved net sales of $23.4 million for the three month period ended December 31, 2005, an increase of $2.4 million, or 11.4%, compared to $21.0 million for the comparable period in the prior year. Industrial sales increased by $1.0 million mainly due to strength in the construction, oil, and general industrial markets. The aerospace and defense market accounted for a $1.4 million increase, driven primarily by increasing commercial build rates and maintenance requirements for both commercial and military aircraft.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Ball Bearing segment achieved net sales of $11.4 million for the three month period ended December 31, 2005, an increase of $1.1 million, or 10.7%, compared to $10.3 million for the comparable period in the prior year. The increase was driven principally by increased demand from airframe, electro-optical, and semiconductor applications and the Company’s increased penetration of the airframe market. Sales to customers in the industrial market were flat year over year.</w:t>
      </w:r>
    </w:p>
    <w:p>
      <w:pPr>
        <w:sectPr>
          <w:pgSz w:w="11900" w:h="16838" w:orient="portrait"/>
          <w:cols w:equalWidth="0" w:num="1">
            <w:col w:w="11420"/>
          </w:cols>
          <w:pgMar w:left="240" w:top="125" w:right="239" w:bottom="0" w:gutter="0" w:footer="0" w:header="0"/>
        </w:sectPr>
      </w:pPr>
    </w:p>
    <w:bookmarkStart w:id="11" w:name="page12"/>
    <w:bookmarkEnd w:id="11"/>
    <w:p>
      <w:pPr>
        <w:spacing w:after="0" w:line="11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Other segment, which is focused mainly on the sale of precision ball screws and machine tool collets, achieved net sales of $4.1 million for the three month period ended December 31, 2005, compared to $4.1 million for the same period last year.</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$20.4 million, or 30.2% of net sales, for the three month period ended December 31, 2005, versus $16.7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28.8% of net sales, for the comparable period in fiscal 2005. The increase in gross margin as a percentage of net sales was primarily the result of an overall increase in volume, slightly higher prices, and increased manufacturing leverage and efficiency.</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SG&amp;A expenses increased by $1.2 million, or 15.0%, to $9.2 million for the three 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compared to $8.0 million for the same period in fiscal 2005. The $1.2 million increase was primarily due to stock option compensation expense of $0.1 million, professional service fees associated with Sarbanes-Oxley 404 implementation of $0.3 million, an increase in personnel necessary to support increased volume, higher professional service fees and additional costs associated with being a public company. As a percentage of net sales, SG&amp;A was 13.7% for the three month period ended December 31, 2005 compared to 13.8% for the comparable period in fiscal 2005.</w:t>
      </w:r>
    </w:p>
    <w:p>
      <w:pPr>
        <w:spacing w:after="0" w:line="15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for the three month period ended December 31, 2005 was $0.4 million compared to $0.3 million for the comparable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2005. For the three month period ended December 31, 2005, other, net included amortization of intangibles of $0.2 million, $0.1 million of bad debt expense and $0.1 million of other expenses. For the three month period ended January 1, 2005, other, net consisted of $0.1 million of management fees, amortization of intangibles of $0.1 million, and $0.1 million of other expenses.</w:t>
      </w:r>
    </w:p>
    <w:p>
      <w:pPr>
        <w:spacing w:after="0" w:line="187"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was $10.8 million, or 16.0% of net sales, for the three month period ended December 31, 2005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$8.4 million, or 14.5% of net sales, for the three month period ended January 1, 2005. Operating income excluding stock option expense of $0.1 million was $10.9 million or 16.2% of net sales. Operating income for the Plain Bearing segment was $7.3 million for the three month period ended December 31, 2005, or 25.6% of net sales, compared to $5.4 million for the same period last year, or 23.8% of net sales. The Roller Bearing segment achieved operating income for the three month period ended December 31, 2005 of $5.5 million, or 23.5% of net sales, compared to $3.7 million, or 17.6% of net sales, for the three month period ended January 1, 2005. The Ball Bearing segment achieved an operating income of $2.9 million, or 25.4% of net sales, for the three month period ended December 31, 2005, compared to $2.4 million, or 23.3% of net sales, for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comparable period in fiscal 2005. The Other segment achieved an operating income of $0.4 million, or 9.8% of net sales, for the three month period ended December 31, 2005, compared to an operating income of $0.6 million, or 14.6% of net sales, for the comparable period in fiscal 2005. The increase in operating income in each of the segments was driven primarily by an increase in net sales. In addition, operating income as a percentage of net sales increased for each of the Company’s segments primarily as a result of leveraging fixed cost base over higher net sales.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$1.4 million to $3.0 million for the three month period ended December 31, 2005,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$4.4 million for the three month period ended January 1, 2005. Amortization of deferred financing costs and debt discount are recorded as a component of net interest expense. Amortization expenses included in interest expense, net were $0.2 million for the three month period ended December 31, 2005 compared to $0.2 million for the three month period ended January 1, 2005.</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Income Before Income Taxes. </w:t>
      </w:r>
      <w:r>
        <w:rPr>
          <w:rFonts w:ascii="Arial" w:cs="Arial" w:eastAsia="Arial" w:hAnsi="Arial"/>
          <w:sz w:val="18"/>
          <w:szCs w:val="18"/>
          <w:color w:val="auto"/>
        </w:rPr>
        <w:t>Income before taxes was $7.8 million for the three month period ended December 31, 2005 compared to income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taxes of $4.1 million for the three month period ended January 1, 2005.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Provision for income taxes for the three month period ended December 31, 2005 was $2.7 million compared to income taxes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$1.7 million for the three month period ended January 1, 2005. The Company’s effective income tax rate for the three month period ended December 31, 2005 was 34.7 % compared to an income tax rate of 40.4% for the three month period ended January 1, 2005. The change in the effective income tax rates from period to period is mostly due to changes in the allocation between domestic and foreign earnings.</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$5.1 million for the three month period ended December 31, 2005 compared to net income of $2.5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 period ended January 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 Period Ended December 31, 2005 Compared to Nine Month Period Ended January 1, 2005</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nine month period ended December 31, 2005 were $198.8 million, an increase of $28.1 million, or 16.5%,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$170.7 million for the comparable period in fiscal 2005. During the nine month period ended December 31, 2005, the Company experienced net sales growth in each of its four segments, driven by strong demand across end markets as well as continued efforts to supply new products to existing and new customers. Overall, net sales to diversified industrial customers grew 8.1% in the nine month period of fiscal 2006 compared to the same period last year. This was principally driven by aftermarket and OEM demand in construction, mining, semiconductor, and general industrial applications. Net sales to aerospace and defense customers grew 28.8% in the nine month period of fiscal 2006 compared to the same period last year, driven mainly by commercial and military aerospace aftermarket and OEM demand.</w:t>
      </w:r>
    </w:p>
    <w:p>
      <w:pPr>
        <w:spacing w:after="0" w:line="18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Plain Bearing segment achieved net sales of $82.1 million for the nine month period ended December 31, 2005, an increase of $15.4 million, or 23.1%, compared to $66.7 million for the comparable period in the prior year. Net sales to diversified industrial customers accounted for $6.3 million of the increase, driven primarily by strong demand in the construction and mining heavy equipment sectors, general industrial applications, and strong aftermarket demand. The commercial and military aerospace market accounted for $9.1 million of the increase due to an increase in airframe and aerospace bearing shipments to aircraft manufacturers and continued demand for aftermarket product.</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Roller Bearing segment achieved net sales of $71.2 million for the nine month period ended December 31, 2005, an increase of $6.6 million, or 10.2%, compared to $64.6 million for the comparable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period in the prior year. $1.9 million of this increase was attributable to sales to customers in the industrial market and from strong demand from mining, construction equipment and general industrial applications. The aerospace and defense market accounted for the remaining $4.7 million of the increase,</w:t>
      </w:r>
    </w:p>
    <w:p>
      <w:pPr>
        <w:sectPr>
          <w:pgSz w:w="11900" w:h="16948"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driven primarily by increasing build rates and maintenance requirements for commercial and military aircraft.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Ball Bearing segment achieved net sales of $33.2 million for the nine month period ended December 31, 2005, an increase of $4.8 million, or 16.9%, compared to $28.4 million for the comparable period in the prior year. The increase was driven principally by increased demand from airframe, electro-optical, and satellite and communications applications and increased penetration of the airframe market. Sales to our customers in the industrial market were flat year over year.</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Other segment, which is focused mainly on the sale of precision ball screws and machine tool collets, achieved net sales of $12.2 million for the nine month period ended December 31, 2005, an increase of $1.1 million, or 9.9%, compared to $11.1 million for the same period last year. This increase was primarily due to increased sales of machine tool collets as a result of increased penetration of the U.S. machine tool collets market and due to increasing overall market demand, both in Europe and the U.S.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$59.6 million, or 30.0% of net sales, for the nine month period ended December 31, 2005, versus $47.4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27.8% of net sales, for the comparable period in fiscal 2005. The increase in our gross margin as a percentage of net sales was primarily the result of an overall increase in volume, slightly higher prices, and increased manufacturing efficiency.</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SG&amp;A expenses increased by $9.0 million, or 38.6%, to $32.3 million for the nine 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compared to $23.3 million for the same period in fiscal 2005. The $9.0 million increase was primarily due to non-recurring compensation expense of $5.2 million, stock option compensation expense of $0.2 million, professional service fees associated with the implementation of Sarbanes-Oxley 404 of $0.3 million, an increase in personnel necessary to support increased volume, higher professional service fees, and additional costs associated with being a public company. As a percentage of net sales, SG&amp;A was 16.2% for the nine month period ended December 31, 2005 compared to 13.6% for the comparable period in fiscal 2005. SG&amp;A, excluding non-recurring compensation expense of $5.2 million and stock option compensation expense of $0.2 million, was 13.5% of net sales for the nine month period ended December 31, 2005 compared to 13.4% for the comparable period in fiscal 2005.</w:t>
      </w:r>
    </w:p>
    <w:p>
      <w:pPr>
        <w:spacing w:after="0" w:line="167"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Other, net. </w:t>
      </w:r>
      <w:r>
        <w:rPr>
          <w:rFonts w:ascii="Arial" w:cs="Arial" w:eastAsia="Arial" w:hAnsi="Arial"/>
          <w:sz w:val="16"/>
          <w:szCs w:val="16"/>
          <w:color w:val="auto"/>
        </w:rPr>
        <w:t>Other, net for the nine month period ended December 31, 2005 was $1.0 million compared to $2.5 million for the comparable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2005. For the nine month period ended December 31, 2005, other, net included amortization of intangibles of $0.5 million, $0.2 million of non-recurring management fees, and $0.3 million of bad debt expense. For the nine month period ended January 1, 2005, other, net consisted of amortization of intangibles of $0.3 million, $0.3 million of management fees, losses on fixed asset disposals of $1.8 million, and $0.1 million of other expenses.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was $26.3 million, or 13.2% of net sales, for the nine month period ended December 31, 2005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$21.7 million, or 12.7% of net sales, for the nine month period ended January 1, 2005. Operating income excluding stock option expense of $0.2 million, non-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recurring compensation expense of $5.2 million, and non-recurring management fees of $0.2 million was $31.9 million or 16.0% of net sales. Operating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income for the Plain Bearing segment was $21.4 million for the nine month period ended December 31, 2005, or 26.1% of net sales, compared to</w:t>
      </w:r>
    </w:p>
    <w:p>
      <w:pPr>
        <w:spacing w:after="0" w:line="2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$16.3 million for the same period last year, or 24.4% of net sales. The Roller Bearing segment achieved an operating income for the nine month period ended December 31, 2005 of $16.7 million, or 23.5% of net sales, compared to $10.6 million, or 16.4% of net sales, for the nine month period ended January 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2005. The Ball Bearing segment achieved an operating income of $7.7 million, or 23.2% of net sales, for the nine month period ended December 31, 2005, compared to $5.6 million, or 19.7% of net sales, for the comparable period in fiscal 2005. The Other segment achieved an operating income of $1.2 million, or 9.8% of net sales, for the nine month period ended December 31, 2005, compared to $0.9 million or 8.1% of net sales, for the comparable period in fiscal 2005. The increase in operating income in each of the segments was driven primarily by an increase in net sales. In addition, operating income as a percentage of net sales increased for each of the segments primarily as a result of leveraging fixed cost base over higher net sales.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decreased by $1.7 million to $12.6 million for the nine month period ended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$14.3 million for the nine month period ended January 1, 2005. Amortization of deferred financing costs and debt discount are recorded as a component of net interest expense. Amortization expenses included in interest expense, net were $0.6 million for the nine month period ended December 31, 2005 compared to $0.9 million for the nine month period ended January 1, 2005.</w:t>
      </w:r>
    </w:p>
    <w:p>
      <w:pPr>
        <w:spacing w:after="0" w:line="18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Loss on Early Extinguishment of Debt. </w:t>
      </w:r>
      <w:r>
        <w:rPr>
          <w:rFonts w:ascii="Arial" w:cs="Arial" w:eastAsia="Arial" w:hAnsi="Arial"/>
          <w:sz w:val="16"/>
          <w:szCs w:val="16"/>
          <w:color w:val="auto"/>
        </w:rPr>
        <w:t>For the nine month period ended December 31, 2005, loss on extinguishment of debt of $3.8 million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$1.6 million for non-cash write-off of deferred financing fees and unamortized bond discount associated with retired debt, $1.3 million of redemption premium associated with the redemption of all of our our 13% discount debentures in September of 2005, $0.5 million pre-payment fees related to the prepayment of all of the outstanding balance under our second lien term loan in August of 2005, and $0.4 million in interest expense for the 30 day call period related to the early extinguishment of our 13% discount debentures. For the nine month period ended January 1, 2005, loss on extinguishment of debt of $7.0 million included $4.3 million for non-cash write-off of deferred financing fees associated with retired debt, $1.8 million of redemption premium and</w:t>
      </w:r>
    </w:p>
    <w:p>
      <w:pPr>
        <w:spacing w:after="0" w:line="5"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$0.9 million in interest expense for the 30 day call period related to the early extinguishment of our $110.0 million of 9</w:t>
      </w:r>
      <w:r>
        <w:rPr>
          <w:rFonts w:ascii="Arial" w:cs="Arial" w:eastAsia="Arial" w:hAnsi="Arial"/>
          <w:sz w:val="30"/>
          <w:szCs w:val="30"/>
          <w:color w:val="auto"/>
          <w:vertAlign w:val="superscript"/>
        </w:rPr>
        <w:t>5</w:t>
      </w:r>
      <w:r>
        <w:rPr>
          <w:rFonts w:ascii="Arial" w:cs="Arial" w:eastAsia="Arial" w:hAnsi="Arial"/>
          <w:sz w:val="18"/>
          <w:szCs w:val="18"/>
          <w:color w:val="auto"/>
        </w:rPr>
        <w:t>/</w:t>
      </w:r>
      <w:r>
        <w:rPr>
          <w:rFonts w:ascii="Arial" w:cs="Arial" w:eastAsia="Arial" w:hAnsi="Arial"/>
          <w:sz w:val="30"/>
          <w:szCs w:val="30"/>
          <w:color w:val="auto"/>
          <w:vertAlign w:val="subscript"/>
        </w:rPr>
        <w:t>8</w:t>
      </w:r>
      <w:r>
        <w:rPr>
          <w:rFonts w:ascii="Arial" w:cs="Arial" w:eastAsia="Arial" w:hAnsi="Arial"/>
          <w:sz w:val="18"/>
          <w:szCs w:val="18"/>
          <w:color w:val="auto"/>
        </w:rPr>
        <w:t>% senior subordinated notes in July of 2004.</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Income Before Income Taxes. </w:t>
      </w:r>
      <w:r>
        <w:rPr>
          <w:rFonts w:ascii="Arial" w:cs="Arial" w:eastAsia="Arial" w:hAnsi="Arial"/>
          <w:sz w:val="18"/>
          <w:szCs w:val="18"/>
          <w:color w:val="auto"/>
        </w:rPr>
        <w:t>Income before taxes was $9.9 million for the nine month period ended December 31, 2005 compared to income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taxes of $0.5 million for the nine month period ended January 1, 2005.</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for the nine month period ended December 31, 2005 was $3.4 million compared to an expense of $0.2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 period ended January 1, 2005. The effective income tax rate for the nine month period ended December 31, 2005 was 34.7% compared to an income tax rate of 36.9% for the nine month period ended January 1, 2005. The change in the effective income tax rates from period to period is mostly due to changes in the allocation between domestic and foreign earnings, primarily the result of the loss on early extinguishment of debt and the one-time compensation payment.</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$6.5 million for the nine month period ended December 31, 2005 compared to net income of $0.3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 period ended January 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ectPr>
          <w:pgSz w:w="11900" w:h="16838" w:orient="portrait"/>
          <w:cols w:equalWidth="0" w:num="1">
            <w:col w:w="11420"/>
          </w:cols>
          <w:pgMar w:left="240" w:top="125" w:right="239" w:bottom="0" w:gutter="0" w:footer="0" w:header="0"/>
        </w:sectPr>
      </w:pPr>
    </w:p>
    <w:bookmarkStart w:id="13" w:name="page14"/>
    <w:bookmarkEnd w:id="13"/>
    <w:p>
      <w:pPr>
        <w:ind w:right="440" w:firstLine="648"/>
        <w:spacing w:after="0" w:line="286" w:lineRule="auto"/>
        <w:rPr>
          <w:sz w:val="20"/>
          <w:szCs w:val="20"/>
          <w:color w:val="auto"/>
        </w:rPr>
      </w:pPr>
      <w:r>
        <w:rPr>
          <w:rFonts w:ascii="Arial" w:cs="Arial" w:eastAsia="Arial" w:hAnsi="Arial"/>
          <w:sz w:val="17"/>
          <w:szCs w:val="17"/>
          <w:color w:val="auto"/>
        </w:rPr>
        <w:t>On August 15, 2005, the Company entered into a Fifth Amended and Restated Credit Agreement (the “Amended Credit Agreement”), among RBCA; the other Credit Parties signatory thereto; General Electric Capital Corporation, a Delaware corporation, for itself, as lender, and as agent for the lenders, concurrently with the closing of the Company’s initial public offering. Pursuant to the Amended Credit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Agreement, the Company increased its term loan borrowings by approximately $40.0 million from $110.0 million under the term loan portion of the Amended Credit Agreement. The Amended Credit Agreement provides a $55.0 million revolving credit agreement (the “Amended Revolving Credit Facility”) and a $150.0 million term loan (the “Amended Term Loan”). The principal amount of the Amended Term Loan shall be repaid in twenty-five (25) consecutive quarterly installments commencing December 31, 2005. As of December 31, 2005, the Company had repaid $2,375 of principal on the Amended Term Loan. Each loan is secured by a lien against substantially all of the assets of the Company and subjects the Company to standard affirmative and negative covenants, as well as financial leverage tests. As of December 31, 2005, the Company was in compliance with all such covenants.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Amended Revolving Credit Facility bears interest at a floating rate of either the higher of the base rate on corporate loans or the federal funds rate plus 50 basis points, plus 1.25%; or LIBOR plus 2.50%. The Company has the right to elect the applicable interest rate on the Amended Revolving Credit Facility. The Amended Term Loan bears interest at a floating rate of either the higher of the base rate on corporate loans or the federal rate plus 50 basis points, plus 1.50%; or LIBOR plus 2.75%. The Company has the right to elect the applicable interest rate on the Amended Term Loan. As of December 31, 2005, the weighted average interest rate on the outstanding Amended Credit Facility was 7.04%.</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Approximately $20.6 million of the Amended Revolving Credit Facility is being utilized to provide letters of credit to secure RBCA’s obligations relating to certain Industrial Development Revenue Bonds and insurance programs. As of December 31, 2005, the Company had the ability to borrow up to an additional $34.4 million under the Amended Revolving Credit Facility.</w:t>
      </w:r>
    </w:p>
    <w:p>
      <w:pPr>
        <w:spacing w:after="0" w:line="18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proceeds of the initial public offering and additional term loan borrowings under the Amended Credit Agreement were used to redeem outstanding debt. Concurrently with the funding, the Company issued a notice of redemption to the note holders of the 13% Senior Subordinated Discount Debentures due June 15, 2009. The requisite funds, approximately $40.2 million, were irrevocably put on deposit with the trustee, Bank of New York, for redemption on September 13, 2005. This amount included a redemption premium of $1.3 million and interest expense for the call period of $0.4 million. These amounts along with $0.9 million of unamortized deferred finance fees and debt discount associated with this debt were recorded as a loss on extinguishment of debt. The Company also repaid approximately $45.5 million on its second lien term loan. This amount included a pre-payment fee of $0.5 million. These amounts along with $0.8 million of unamortized deferred finance fees associated with the second lien term loan debt were recorded as a loss on extinguishment of debt. Deferred financing fees of $1.3 million were capitalized associated with the Amended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Swiss Credit Facility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8, 2003, Schaublin entered into a bank credit facility, or Swiss Credit Facility, with Credit Suisse providing for 10.0 million Swiss Francs, or approximately $7.7 million, of term loan, or Swiss Term Loan, and up to 2.0 million Swiss Francs, or approximately $1.5 million, of revolving credit loans and letters of credit, or the Swiss Revolver. The credit agreement for the Swiss Credit Facility contains affirmative and negative covenants regarding the Schaublin financial position and results of operations and other terms customary to such financings. As of December 31, 2005, we were in compliance with all such covenants. On November 8, 2004, we amended the Swiss Credit Facility to increase the Swiss Revolver to 4.0 million Swiss Francs, or approximately $3.1 million. As of December 31, 2005, $4.8 million was outstanding under the Swiss Term Loan, and no loans or letters of credit were outstanding under the Swiss Revolver.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believe that after giving effect to our initial public offering and the amendment and restatement of our senior credit facility and the uses of proceeds in connection with the offering, our cash and cash equivalents, cash flow from operations and capacity under the Revolving Credit Facility and Swiss Revolver will provide adequate cash to fund our working capital, capital expenditures, debt service and other cash requirements for our existing businesses for the foreseeable future. Our ability to meet future working capital, capital expenditure and debt service requirements will depend on our future financial performance, which will be affected by a range of economic, competitive and business factors, particularly interest rates, cyclical changes in our end markets and prices for steel and our ability to pass through price increases on a timely basis, many of which are outside of our control. In addition, future acquisitions could have a significant impact on our liquidity position and our need for additional funds.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From time to time we evaluate our existing facilities and operations and their strategic importance to us. If we determine that a given facility or operation does not have future strategic importance, we may sell, partially or completely, relocate production lines, consolidate or otherwise dispose of those operations. Although we believe our operations would not be materially impaired by such dispositions, relocations or consolidations, we could incur cash or non-cash charges in connection with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 Period Ended December 31, 2005 Compared to the Nine Month Period Ended January 1,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nine month period ended December 31, 2005, the Company generated cash of $13.2 million from operating activities compared to</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$4.7 million for the nine month period ended January 1, 2005. The increase of $8.5 million was mainly a result of an increase of $6.2 million in net income, reduced by $2.2 million representing the net effect of non-cash charges such as deferred taxes, loss on extinguishment of debt, and loss on disposal of assets, plus a change in working capital investment of $4.5 million.</w:t>
      </w:r>
    </w:p>
    <w:p>
      <w:pPr>
        <w:spacing w:after="0" w:line="19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Cash used for investing activities for the nine month period ended December 31, 2005 included $7.8 million relating to capital expenditures compared to $6.6 million for the nine month period ended January 1, 2005. Investing activites also included $2.6 million relating to the acquisition of the RBC Southwest Products business.</w:t>
      </w:r>
    </w:p>
    <w:p>
      <w:pPr>
        <w:sectPr>
          <w:pgSz w:w="11900" w:h="16838" w:orient="portrait"/>
          <w:cols w:equalWidth="0" w:num="1">
            <w:col w:w="11420"/>
          </w:cols>
          <w:pgMar w:left="240" w:top="125" w:right="239" w:bottom="0" w:gutter="0" w:footer="0" w:header="0"/>
        </w:sectPr>
      </w:pPr>
    </w:p>
    <w:bookmarkStart w:id="14" w:name="page15"/>
    <w:bookmarkEnd w:id="14"/>
    <w:p>
      <w:pPr>
        <w:ind w:right="60" w:firstLine="648"/>
        <w:spacing w:after="0" w:line="276" w:lineRule="auto"/>
        <w:rPr>
          <w:sz w:val="20"/>
          <w:szCs w:val="20"/>
          <w:color w:val="auto"/>
        </w:rPr>
      </w:pPr>
      <w:r>
        <w:rPr>
          <w:rFonts w:ascii="Arial" w:cs="Arial" w:eastAsia="Arial" w:hAnsi="Arial"/>
          <w:sz w:val="17"/>
          <w:szCs w:val="17"/>
          <w:color w:val="auto"/>
        </w:rPr>
        <w:t>In the nine month period ended December 31, 2005, the Company decreased borrowings under the revolving credit facility by $5.0 million, received proceeds from the sale of stock of $92.1 million, used $30.6 million to redeem Class C redeemable preferred stock, used $4.0 million to redeem Class D preferred stock, received $0.3 million from the exercise of stock options and warrants, retired term loans of $45.0 million, retired the 13% Senior Secured Discount Debentures of $38.6 million, increased its bank term loan by $41.1 million, made payments on term loans of $3.7 million, used $0.2 million of funds for capital lease obligations, and paid $1.3 million of financing fees in connection with the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expect to make capital expenditures of approximately $12.0 million during fiscal 2006 in connection with our existing business. We intend to fund our fiscal 2006 capital expenditures principally through existing cash, internally generated funds and borrowings under our Revolving Credit Facility. We generally expect capital expenditures to remain at higher levels than fiscal 2005 as we invest in new manufacturing capability. We may also make substantial additional capital expenditures in connection with acquisitions.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outlines what we regard as our significant contractual obligations and commercial commitments as of December 31, 2005. The table does not represent all of our contractual obligations and commercial commitments that we have entered into.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Significant Contractual Obligations</w:t>
            </w:r>
          </w:p>
        </w:tc>
        <w:tc>
          <w:tcPr>
            <w:tcW w:w="280" w:type="dxa"/>
            <w:vAlign w:val="bottom"/>
          </w:tcPr>
          <w:p>
            <w:pPr>
              <w:spacing w:after="0"/>
              <w:rPr>
                <w:sz w:val="10"/>
                <w:szCs w:val="10"/>
                <w:color w:val="auto"/>
              </w:rPr>
            </w:pPr>
          </w:p>
        </w:tc>
        <w:tc>
          <w:tcPr>
            <w:tcW w:w="122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110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1 to 3</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3 to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15"/>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Years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169,030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6,740</w:t>
            </w: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4,580</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Interest payments (3)</w:t>
            </w: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67,465</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23,307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22,657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and postretirement benefits (2)</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3,208</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spacing w:after="0"/>
              <w:rPr>
                <w:sz w:val="20"/>
                <w:szCs w:val="20"/>
                <w:color w:val="auto"/>
              </w:rPr>
            </w:pPr>
            <w:r>
              <w:rPr>
                <w:rFonts w:ascii="Arial" w:cs="Arial" w:eastAsia="Arial" w:hAnsi="Arial"/>
                <w:sz w:val="18"/>
                <w:szCs w:val="18"/>
                <w:color w:val="auto"/>
              </w:rPr>
              <w:t>Total significant contractual cash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258,287</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right="420" w:hanging="412"/>
        <w:spacing w:after="0" w:line="277" w:lineRule="auto"/>
        <w:tabs>
          <w:tab w:leader="none" w:pos="41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$147.6 million Amended Term Loan and other senior debt consisting of the Swiss Term Loan, industrial revenue bonds and other debt totaling $21.4 million.</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leases and pension and postretirement benefits are estimated as unchanged from fiscal year end 2005.</w:t>
      </w:r>
    </w:p>
    <w:p>
      <w:pPr>
        <w:spacing w:after="0" w:line="225" w:lineRule="exact"/>
        <w:rPr>
          <w:rFonts w:ascii="Arial" w:cs="Arial" w:eastAsia="Arial" w:hAnsi="Arial"/>
          <w:sz w:val="18"/>
          <w:szCs w:val="18"/>
          <w:color w:val="auto"/>
        </w:rPr>
      </w:pPr>
    </w:p>
    <w:p>
      <w:pPr>
        <w:ind w:left="420" w:right="220" w:hanging="412"/>
        <w:spacing w:after="0" w:line="277" w:lineRule="auto"/>
        <w:tabs>
          <w:tab w:leader="none" w:pos="41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payments are calculated based on beginning of period debt balances that reflect contractual debt amortization over the term of the instruments and assume a constant LIBOR rate of 4.39%.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exposed to market risks which arise during the normal course of business from changes in interest rates and foreign currency exchange rates.</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Interest Rates. </w:t>
      </w:r>
      <w:r>
        <w:rPr>
          <w:rFonts w:ascii="Arial" w:cs="Arial" w:eastAsia="Arial" w:hAnsi="Arial"/>
          <w:sz w:val="17"/>
          <w:szCs w:val="17"/>
          <w:color w:val="auto"/>
        </w:rPr>
        <w:t>We are exposed to market risk from changes in the interest rates on a significant portion of our outstanding indebtedness.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under our Amended Credit Agreement bear interest at a variable rate based on prime (for any day, a floating rate equal to the higher of (1) the rate publicly posted as the base rate posted by at least 75% of the nation’s 30 largest banks or (2) the Federal Funds Rate plus 50 basis points per year) or LIBOR (the London inter-bank offered rate for deposits in U.S. dollars for the applicable LIBOR Period) ranging from 30 to 120 days as adjusted each interest period. As of December 31, 2005, based on the aggregate amount of $147.6 million outstanding under our Amended Term Loan, a 100 basis point change in interest rates would have changed our interest expense by approximately $1.5 million per year.</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continually evaluate our exposure to interest rate fluctuations and follow established policies and procedures to implement strategies designed to manage the amount of variable rate indebtedness outstanding at any point in time in an effort to mitigate the effect of interest rate fluctuations on our earnings and cash flow.</w:t>
      </w:r>
    </w:p>
    <w:p>
      <w:pPr>
        <w:spacing w:after="0" w:line="18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Foreign Currency Exchange Rates. </w:t>
      </w:r>
      <w:r>
        <w:rPr>
          <w:rFonts w:ascii="Arial" w:cs="Arial" w:eastAsia="Arial" w:hAnsi="Arial"/>
          <w:sz w:val="16"/>
          <w:szCs w:val="16"/>
          <w:color w:val="auto"/>
        </w:rPr>
        <w:t>As a result of increased sales in Europe, our exposure to risk associated with fluctuating currency exchange rates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U.S. dollar, the Euro and the Swiss Franc has increased. Our Swiss operations utilize the Swiss franc as the functional currency and our French operations utilize the Euro as the functional currency. Foreign currency transaction gains and losses are included in earnings. Approximately 12% of our net sales were denominated in foreign currencies for fiscal 2005. We expect that this proportion is likely to increase as we seek to increase our penetration of foreign markets, particularly within the aerospace and defense markets. Foreign currency transaction exposure arises primarily from the transfer of foreign currency from one subsidiary to another within the group, and to foreign currency denominated trade receivables. Unrealized currency translation gains and losses are recognized upon translation of the foreign subsidiaries’ balance sheets to U.S. dollars. Because our financial statements are denominated in U.S. dollars, changes in currency exchange rates between the U.S. dollar and other currencies have had, and will continue to have, an impact on our earnings. We currently do not have exchange rate hedges in place to reduce the risk of an adverse currency exchange movement. Although currency fluctuations have not had a material impact on our financial performance in the past, such fluctuations may materially affect our financial performance in the future. The impact of future exchange rate fluctuations on our results of operations cannot be accurately predicted.</w:t>
      </w:r>
    </w:p>
    <w:p>
      <w:pPr>
        <w:sectPr>
          <w:pgSz w:w="11900" w:h="16838" w:orient="portrait"/>
          <w:cols w:equalWidth="0" w:num="1">
            <w:col w:w="11420"/>
          </w:cols>
          <w:pgMar w:left="240" w:top="125"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defined in Rules 13a-15(e) and 15d-15(e) under the Securities Exchange Act of 1934 (the “Exchange Act”)) as of December 31, 2005. Based on this evaluation, our chief executive officer and chief financial officer have concluded that, as of December 31, 2005, our disclosure controls and procedures were (1) designed to ensure that material information relating to our Company, is made known to the chief executive officer and chief financial officer by others within those entities, particularly during the period in which this report was being prepared, and (2) effective, in that they provide reasonable assurance that information required to be disclosed by our Company in the reports that we file or submit, or would have filed or submitted, under the Exchange Act are recorded, processed, summarized and reported within the time periods specified in the applicable rules and forms.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No change in our internal control over financial reporting occurred during the three month period ended December 31, 2005 that has materially affected, or is reasonably likely to materially affect, our internal control over financial reporting (as defined in Rules 13a-15(f) and 15d-15(f) under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Effectiveness of Controls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The design of any control system is based, in part, upon the benefits of the control system relative to its costs. Control systems can be circumvented by the individual acts of some persons, by collusion of two or more people, or by management override of the control. In addition, over time, controls may become inadequate because of changes in conditions, or the degree of compliance with the policies or procedures may deteriorate. Because of these and other inherent limitations of control systems, there can be no assurance that any design will succeed in achieving its stated goals under all potential future conditions, regardless of how remote.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From time to time, we are involved in litigation and administrative proceedings which arise in the ordinary course of our business. We do not believe that any litigation or proceeding in which we are currently involved, either individually or in the aggregate, is likely to have a material adverse effect on our business, financial condition, operating results, cash flow or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the third quarter of fiscal 2006, 148,224 warrants to purchase 148,224 shares of the Company’s common stock were exercised of which 124 were exercised in cash at an exercise price of $16.01 per share and 148,100 were exercised through a cashless exercise or net share settlement. Appropriate legends were affixed to the share certificates issued in such transactions. All recipients either received adequate information from us or had adequate access, through their employment with us or otherwise, to information about us. The issuance of these securities was considered to be exempt from registration under the Securities Act in reliance on Section 4(2) of the Securities Act, or Regulation D promulgated thereunder, as a transaction by an issuer not involving a public offering. The warrant holders represented their intentions to acquire the securities for investment only and not with a view to or for sale with any distribution thereof, and, if necessary, appropriate legends were affixed to the share certificate issued in the transaction.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0" w:firstLine="8"/>
        <w:spacing w:after="0" w:line="277"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amended its Code of Ethics (to add a “whistleblower” hotline) effective February 14, 2006. This disclosure, which would otherwise be reported under Item 5.05 of Form 8-K, is being made under this Item 5(a) of Form 10-Q in lieu of a filing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48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14</w:t>
            </w:r>
          </w:p>
        </w:tc>
        <w:tc>
          <w:tcPr>
            <w:tcW w:w="200" w:type="dxa"/>
            <w:vAlign w:val="bottom"/>
          </w:tcPr>
          <w:p>
            <w:pPr>
              <w:spacing w:after="0"/>
              <w:rPr>
                <w:sz w:val="16"/>
                <w:szCs w:val="16"/>
                <w:color w:val="auto"/>
              </w:rPr>
            </w:pPr>
          </w:p>
        </w:tc>
        <w:tc>
          <w:tcPr>
            <w:tcW w:w="10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Code of Ethics</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Securities Exchange Act Rule 13a-14(a).</w:t>
            </w: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31.02</w:t>
            </w:r>
          </w:p>
        </w:tc>
        <w:tc>
          <w:tcPr>
            <w:tcW w:w="200" w:type="dxa"/>
            <w:vAlign w:val="bottom"/>
          </w:tcPr>
          <w:p>
            <w:pPr>
              <w:spacing w:after="0"/>
              <w:rPr>
                <w:sz w:val="18"/>
                <w:szCs w:val="18"/>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Securities Exchange Act Rule 13a-14(a).</w:t>
            </w: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32.01</w:t>
            </w:r>
          </w:p>
        </w:tc>
        <w:tc>
          <w:tcPr>
            <w:tcW w:w="200" w:type="dxa"/>
            <w:vAlign w:val="bottom"/>
          </w:tcPr>
          <w:p>
            <w:pPr>
              <w:spacing w:after="0"/>
              <w:rPr>
                <w:sz w:val="20"/>
                <w:szCs w:val="20"/>
                <w:color w:val="auto"/>
              </w:rPr>
            </w:pPr>
          </w:p>
        </w:tc>
        <w:tc>
          <w:tcPr>
            <w:tcW w:w="104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 and Securities Exchange Act Rule 13a-14(b).*</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0" w:gutter="0" w:footer="0" w:header="0"/>
        </w:sectPr>
      </w:pPr>
    </w:p>
    <w:bookmarkStart w:id="16" w:name="page17"/>
    <w:bookmarkEnd w:id="16"/>
    <w:p>
      <w:pPr>
        <w:spacing w:after="0"/>
        <w:tabs>
          <w:tab w:leader="none" w:pos="920" w:val="left"/>
        </w:tabs>
        <w:rPr>
          <w:sz w:val="20"/>
          <w:szCs w:val="20"/>
          <w:color w:val="auto"/>
        </w:rPr>
      </w:pPr>
      <w:r>
        <w:rPr>
          <w:rFonts w:ascii="Arial" w:cs="Arial" w:eastAsia="Arial" w:hAnsi="Arial"/>
          <w:sz w:val="18"/>
          <w:szCs w:val="18"/>
          <w:color w:val="auto"/>
        </w:rPr>
        <w:t>32.02</w:t>
      </w:r>
      <w:r>
        <w:rPr>
          <w:sz w:val="20"/>
          <w:szCs w:val="20"/>
          <w:color w:val="auto"/>
        </w:rPr>
        <w:tab/>
      </w:r>
      <w:r>
        <w:rPr>
          <w:rFonts w:ascii="Arial" w:cs="Arial" w:eastAsia="Arial" w:hAnsi="Arial"/>
          <w:sz w:val="16"/>
          <w:szCs w:val="16"/>
          <w:color w:val="auto"/>
        </w:rPr>
        <w:t>Certification of Chief Financial Officer Pursuant to 18 U.S.C. Section 1350 and Securities Exchange Act Rule 13a-14(b).*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8"/>
        <w:spacing w:after="0" w:line="286" w:lineRule="auto"/>
        <w:tabs>
          <w:tab w:leader="none" w:pos="62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RBC Bearings Incorporated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Dr. Michael J. Hartnett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By: Dr. Michael J. Hartnett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Its: Chief Executive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RBC Bearings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Daniel A. Bergeron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5500" w:type="dxa"/>
            <w:vAlign w:val="bottom"/>
          </w:tcPr>
          <w:p>
            <w:pPr>
              <w:spacing w:after="0" w:line="195" w:lineRule="exact"/>
              <w:rPr>
                <w:sz w:val="20"/>
                <w:szCs w:val="20"/>
                <w:color w:val="auto"/>
              </w:rPr>
            </w:pPr>
            <w:r>
              <w:rPr>
                <w:rFonts w:ascii="Arial" w:cs="Arial" w:eastAsia="Arial" w:hAnsi="Arial"/>
                <w:sz w:val="18"/>
                <w:szCs w:val="18"/>
                <w:color w:val="auto"/>
              </w:rPr>
              <w:t>By: Daniel A. Bergeron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Its: Chief Financial Officer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Dated:  February 14, 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tcPr>
          <w:p>
            <w:pPr>
              <w:ind w:left="4700"/>
              <w:spacing w:after="0"/>
              <w:rPr>
                <w:sz w:val="20"/>
                <w:szCs w:val="20"/>
                <w:color w:val="auto"/>
              </w:rPr>
            </w:pPr>
            <w:r>
              <w:rPr>
                <w:rFonts w:ascii="Arial" w:cs="Arial" w:eastAsia="Arial" w:hAnsi="Arial"/>
                <w:sz w:val="18"/>
                <w:szCs w:val="18"/>
                <w:color w:val="auto"/>
              </w:rPr>
              <w:t>31</w:t>
            </w:r>
          </w:p>
        </w:tc>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50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500" w:type="dxa"/>
            <w:vAlign w:val="bottom"/>
            <w:gridSpan w:val="2"/>
          </w:tcPr>
          <w:p>
            <w:pPr>
              <w:ind w:left="410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gridSpan w:val="2"/>
            <w:vMerge w:val="restart"/>
          </w:tcPr>
          <w:p>
            <w:pPr>
              <w:ind w:left="466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6"/>
                <w:szCs w:val="16"/>
                <w:color w:val="auto"/>
              </w:rPr>
            </w:pPr>
          </w:p>
        </w:tc>
        <w:tc>
          <w:tcPr>
            <w:tcW w:w="105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Code of Ethics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31.01</w:t>
            </w:r>
          </w:p>
        </w:tc>
        <w:tc>
          <w:tcPr>
            <w:tcW w:w="18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Securities Exchange Act Rule 13a-14(a).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31.02</w:t>
            </w:r>
          </w:p>
        </w:tc>
        <w:tc>
          <w:tcPr>
            <w:tcW w:w="18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Securities Exchange Act Rule 13a-14(a).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18"/>
                <w:szCs w:val="18"/>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and Securities Exchange Act Rule 13a-14(b).*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spacing w:after="0"/>
              <w:rPr>
                <w:sz w:val="20"/>
                <w:szCs w:val="20"/>
                <w:color w:val="auto"/>
              </w:rPr>
            </w:pPr>
            <w:r>
              <w:rPr>
                <w:rFonts w:ascii="Arial" w:cs="Arial" w:eastAsia="Arial" w:hAnsi="Arial"/>
                <w:sz w:val="18"/>
                <w:szCs w:val="18"/>
                <w:color w:val="auto"/>
              </w:rPr>
              <w:t>32.02</w:t>
            </w:r>
          </w:p>
        </w:tc>
        <w:tc>
          <w:tcPr>
            <w:tcW w:w="180" w:type="dxa"/>
            <w:vAlign w:val="bottom"/>
          </w:tcPr>
          <w:p>
            <w:pPr>
              <w:spacing w:after="0"/>
              <w:rPr>
                <w:sz w:val="20"/>
                <w:szCs w:val="20"/>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and Securities Exchange Act Rule 13a-14(b).*</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-1530350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-1530350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right="120" w:firstLine="8"/>
        <w:spacing w:after="0" w:line="286" w:lineRule="auto"/>
        <w:tabs>
          <w:tab w:leader="none" w:pos="6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certification accompanies this Quarterly Report on Form 10-Q, is not deemed filed with the SEC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003300"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54660"/>
                    </a:xfrm>
                    <a:prstGeom prst="rect">
                      <a:avLst/>
                    </a:prstGeom>
                    <a:noFill/>
                  </pic:spPr>
                </pic:pic>
              </a:graphicData>
            </a:graphic>
          </wp:anchor>
        </w:drawing>
        <w:drawing>
          <wp:anchor simplePos="0" relativeHeight="251657728" behindDoc="1" locked="0" layoutInCell="0" allowOverlap="1">
            <wp:simplePos x="0" y="0"/>
            <wp:positionH relativeFrom="page">
              <wp:posOffset>3084830</wp:posOffset>
            </wp:positionH>
            <wp:positionV relativeFrom="page">
              <wp:posOffset>243205</wp:posOffset>
            </wp:positionV>
            <wp:extent cx="4763"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44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40" w:type="dxa"/>
            <w:vAlign w:val="bottom"/>
          </w:tcPr>
          <w:p>
            <w:pPr>
              <w:ind w:left="780"/>
              <w:spacing w:after="0"/>
              <w:rPr>
                <w:sz w:val="20"/>
                <w:szCs w:val="20"/>
                <w:color w:val="auto"/>
              </w:rPr>
            </w:pPr>
            <w:r>
              <w:rPr>
                <w:rFonts w:ascii="Arial" w:cs="Arial" w:eastAsia="Arial" w:hAnsi="Arial"/>
                <w:sz w:val="18"/>
                <w:szCs w:val="18"/>
                <w:b w:val="1"/>
                <w:bCs w:val="1"/>
                <w:color w:val="auto"/>
              </w:rPr>
              <w:t>File Code:</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40" w:type="dxa"/>
            <w:vAlign w:val="bottom"/>
          </w:tcPr>
          <w:p>
            <w:pPr>
              <w:ind w:left="780"/>
              <w:spacing w:after="0"/>
              <w:rPr>
                <w:sz w:val="20"/>
                <w:szCs w:val="20"/>
                <w:color w:val="auto"/>
              </w:rPr>
            </w:pPr>
            <w:r>
              <w:rPr>
                <w:rFonts w:ascii="Arial" w:cs="Arial" w:eastAsia="Arial" w:hAnsi="Arial"/>
                <w:sz w:val="18"/>
                <w:szCs w:val="18"/>
                <w:color w:val="auto"/>
              </w:rPr>
              <w:t>E.1.3</w:t>
            </w:r>
          </w:p>
        </w:tc>
        <w:tc>
          <w:tcPr>
            <w:tcW w:w="0" w:type="dxa"/>
            <w:vAlign w:val="bottom"/>
          </w:tcPr>
          <w:p>
            <w:pPr>
              <w:spacing w:after="0"/>
              <w:rPr>
                <w:sz w:val="1"/>
                <w:szCs w:val="1"/>
                <w:color w:val="auto"/>
              </w:rPr>
            </w:pPr>
          </w:p>
        </w:tc>
      </w:tr>
      <w:tr>
        <w:trPr>
          <w:trHeight w:val="22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FINANCE POLICIES AND PROCEDURES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Effective Date:</w:t>
            </w:r>
          </w:p>
        </w:tc>
        <w:tc>
          <w:tcPr>
            <w:tcW w:w="2340" w:type="dxa"/>
            <w:vAlign w:val="bottom"/>
          </w:tcPr>
          <w:p>
            <w:pPr>
              <w:ind w:left="780"/>
              <w:spacing w:after="0"/>
              <w:rPr>
                <w:sz w:val="20"/>
                <w:szCs w:val="20"/>
                <w:color w:val="auto"/>
              </w:rPr>
            </w:pPr>
            <w:r>
              <w:rPr>
                <w:rFonts w:ascii="Arial" w:cs="Arial" w:eastAsia="Arial" w:hAnsi="Arial"/>
                <w:sz w:val="18"/>
                <w:szCs w:val="18"/>
                <w:b w:val="1"/>
                <w:bCs w:val="1"/>
                <w:color w:val="auto"/>
                <w:w w:val="87"/>
              </w:rPr>
              <w:t>Revision Issue Date:</w:t>
            </w:r>
          </w:p>
        </w:tc>
        <w:tc>
          <w:tcPr>
            <w:tcW w:w="0" w:type="dxa"/>
            <w:vAlign w:val="bottom"/>
          </w:tcPr>
          <w:p>
            <w:pPr>
              <w:spacing w:after="0"/>
              <w:rPr>
                <w:sz w:val="1"/>
                <w:szCs w:val="1"/>
                <w:color w:val="auto"/>
              </w:rPr>
            </w:pPr>
          </w:p>
        </w:tc>
      </w:tr>
      <w:tr>
        <w:trPr>
          <w:trHeight w:val="212"/>
        </w:trPr>
        <w:tc>
          <w:tcPr>
            <w:tcW w:w="4480" w:type="dxa"/>
            <w:vAlign w:val="bottom"/>
            <w:vMerge w:val="continue"/>
          </w:tcPr>
          <w:p>
            <w:pPr>
              <w:spacing w:after="0"/>
              <w:rPr>
                <w:sz w:val="18"/>
                <w:szCs w:val="18"/>
                <w:color w:val="auto"/>
              </w:rPr>
            </w:pPr>
          </w:p>
        </w:tc>
        <w:tc>
          <w:tcPr>
            <w:tcW w:w="3180" w:type="dxa"/>
            <w:vAlign w:val="bottom"/>
          </w:tcPr>
          <w:p>
            <w:pPr>
              <w:ind w:left="1020"/>
              <w:spacing w:after="0"/>
              <w:rPr>
                <w:sz w:val="20"/>
                <w:szCs w:val="20"/>
                <w:color w:val="auto"/>
              </w:rPr>
            </w:pPr>
            <w:r>
              <w:rPr>
                <w:rFonts w:ascii="Arial" w:cs="Arial" w:eastAsia="Arial" w:hAnsi="Arial"/>
                <w:sz w:val="18"/>
                <w:szCs w:val="18"/>
                <w:color w:val="auto"/>
              </w:rPr>
              <w:t>January 27, 2004</w:t>
            </w:r>
          </w:p>
        </w:tc>
        <w:tc>
          <w:tcPr>
            <w:tcW w:w="2340" w:type="dxa"/>
            <w:vAlign w:val="bottom"/>
          </w:tcPr>
          <w:p>
            <w:pPr>
              <w:ind w:left="780"/>
              <w:spacing w:after="0"/>
              <w:rPr>
                <w:sz w:val="20"/>
                <w:szCs w:val="20"/>
                <w:color w:val="auto"/>
              </w:rPr>
            </w:pPr>
            <w:r>
              <w:rPr>
                <w:rFonts w:ascii="Arial" w:cs="Arial" w:eastAsia="Arial" w:hAnsi="Arial"/>
                <w:sz w:val="18"/>
                <w:szCs w:val="18"/>
                <w:color w:val="auto"/>
              </w:rPr>
              <w:t>February 14, 2006</w:t>
            </w: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8"/>
                <w:szCs w:val="18"/>
                <w:b w:val="1"/>
                <w:bCs w:val="1"/>
                <w:color w:val="auto"/>
              </w:rPr>
              <w:t>Subject: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Authorized By:</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480" w:type="dxa"/>
            <w:vAlign w:val="bottom"/>
          </w:tcPr>
          <w:p>
            <w:pPr>
              <w:spacing w:after="0"/>
              <w:rPr>
                <w:sz w:val="20"/>
                <w:szCs w:val="20"/>
                <w:color w:val="auto"/>
              </w:rPr>
            </w:pPr>
            <w:r>
              <w:rPr>
                <w:rFonts w:ascii="Arial" w:cs="Arial" w:eastAsia="Arial" w:hAnsi="Arial"/>
                <w:sz w:val="18"/>
                <w:szCs w:val="18"/>
                <w:color w:val="auto"/>
              </w:rPr>
              <w:t>Code of Conduct and Ethics</w:t>
            </w:r>
          </w:p>
        </w:tc>
        <w:tc>
          <w:tcPr>
            <w:tcW w:w="3180" w:type="dxa"/>
            <w:vAlign w:val="bottom"/>
          </w:tcPr>
          <w:p>
            <w:pPr>
              <w:ind w:left="1020"/>
              <w:spacing w:after="0"/>
              <w:rPr>
                <w:sz w:val="20"/>
                <w:szCs w:val="20"/>
                <w:color w:val="auto"/>
              </w:rPr>
            </w:pPr>
            <w:r>
              <w:rPr>
                <w:rFonts w:ascii="Arial" w:cs="Arial" w:eastAsia="Arial" w:hAnsi="Arial"/>
                <w:sz w:val="18"/>
                <w:szCs w:val="18"/>
                <w:color w:val="auto"/>
              </w:rPr>
              <w:t>President and CEO</w:t>
            </w: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8"/>
                <w:szCs w:val="18"/>
                <w:b w:val="1"/>
                <w:bCs w:val="1"/>
                <w:color w:val="auto"/>
              </w:rPr>
              <w:t>Applicability:</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Function:</w:t>
            </w: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All Global Business Units</w:t>
            </w:r>
          </w:p>
        </w:tc>
        <w:tc>
          <w:tcPr>
            <w:tcW w:w="3180" w:type="dxa"/>
            <w:vAlign w:val="bottom"/>
          </w:tcPr>
          <w:p>
            <w:pPr>
              <w:ind w:left="1020"/>
              <w:spacing w:after="0"/>
              <w:rPr>
                <w:sz w:val="20"/>
                <w:szCs w:val="20"/>
                <w:color w:val="auto"/>
              </w:rPr>
            </w:pPr>
            <w:r>
              <w:rPr>
                <w:rFonts w:ascii="Arial" w:cs="Arial" w:eastAsia="Arial" w:hAnsi="Arial"/>
                <w:sz w:val="18"/>
                <w:szCs w:val="18"/>
                <w:color w:val="auto"/>
              </w:rPr>
              <w:t>Executive</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p>
    <w:p>
      <w:pPr>
        <w:spacing w:after="0" w:line="229" w:lineRule="exact"/>
        <w:rPr>
          <w:rFonts w:ascii="Arial" w:cs="Arial" w:eastAsia="Arial" w:hAnsi="Arial"/>
          <w:sz w:val="18"/>
          <w:szCs w:val="18"/>
          <w:b w:val="1"/>
          <w:bCs w:val="1"/>
          <w:color w:val="auto"/>
        </w:rPr>
      </w:pPr>
    </w:p>
    <w:p>
      <w:pPr>
        <w:ind w:left="6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has adopted the following Code of Business Conduct and Ethics (this “Code”) for officers, directors and employees of RBC Bearings Incorporated (the “Company”) and its divisions and subsidiaries. This Code is intended to focus the Board and each director, officer and employee on areas of ethical risk, provide guidance to such persons to help them recognize and deal with ethical issues, provide mechanisms to report unethical conduct and help foster a culture of honesty and accountability. Each director, officer and employee must comply with the letter and spirit of this Code.</w:t>
      </w:r>
    </w:p>
    <w:p>
      <w:pPr>
        <w:spacing w:after="0" w:line="188" w:lineRule="exact"/>
        <w:rPr>
          <w:rFonts w:ascii="Arial" w:cs="Arial" w:eastAsia="Arial" w:hAnsi="Arial"/>
          <w:sz w:val="18"/>
          <w:szCs w:val="18"/>
          <w:b w:val="1"/>
          <w:bCs w:val="1"/>
          <w:color w:val="auto"/>
        </w:rPr>
      </w:pPr>
    </w:p>
    <w:p>
      <w:pPr>
        <w:jc w:val="both"/>
        <w:ind w:left="6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code or policy can anticipate every situation that may arise. Accordingly, this Code is intended to serve as a source of guiding principles for directors, officers and employees. Each director, officer and employee is encouraged to bring questions about particular circumstances that may implicate one or more of the provisions of this Code to the attention of the Chairperson of the Audit Committee, who may consult with inside or outside legal counsel as appropriate.</w:t>
      </w:r>
    </w:p>
    <w:p>
      <w:pPr>
        <w:spacing w:after="0" w:line="18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POLICY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This policy is to bring to people’s attention the high legal and ethical standards expected from all the employees of RBC Bearings Incorporated.</w:t>
      </w:r>
    </w:p>
    <w:p>
      <w:pPr>
        <w:spacing w:after="0" w:line="23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employees of RBC Bearings Incorporated are responsible for the implementation of this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r>
        <w:rPr>
          <w:rFonts w:ascii="Arial" w:cs="Arial" w:eastAsia="Arial" w:hAnsi="Arial"/>
          <w:sz w:val="18"/>
          <w:szCs w:val="18"/>
          <w:b w:val="1"/>
          <w:bCs w:val="1"/>
          <w:color w:val="auto"/>
        </w:rPr>
        <w:t>.</w:t>
      </w:r>
    </w:p>
    <w:p>
      <w:pPr>
        <w:spacing w:after="0" w:line="229" w:lineRule="exact"/>
        <w:rPr>
          <w:sz w:val="20"/>
          <w:szCs w:val="20"/>
          <w:color w:val="auto"/>
        </w:rPr>
      </w:pPr>
    </w:p>
    <w:p>
      <w:pPr>
        <w:ind w:left="660" w:firstLine="648"/>
        <w:spacing w:after="0" w:line="272" w:lineRule="auto"/>
        <w:rPr>
          <w:sz w:val="20"/>
          <w:szCs w:val="20"/>
          <w:color w:val="auto"/>
        </w:rPr>
      </w:pPr>
      <w:r>
        <w:rPr>
          <w:rFonts w:ascii="Arial" w:cs="Arial" w:eastAsia="Arial" w:hAnsi="Arial"/>
          <w:sz w:val="17"/>
          <w:szCs w:val="17"/>
          <w:color w:val="auto"/>
        </w:rPr>
        <w:t>All employees, officers and directors of RBC Bearings Incorporated have a duty of loyalty to the Company, and must therefore avoid any actual or apparent conflict of interest with the Company. A “conflict of interest” exists whenever an individual’s private interests interfere or conflict in any way (or even appear to interfere or conflict) with the interests of the Company as a whole. A conflict situation can arise when an employee, officer or director takes actions or has interests that may make it difficult to perform his or her Company work objectively and effectively. Conflicts of interest may also arise when an employee, officer or director, or a member of his or her family, receives improper personal benefits as a result of his or her position in the Company, whether received from the Company or a third party. Loans to, or guarantees of obligations of, employees, officers and directors and their respective family members may create conflicts of interest.</w:t>
      </w:r>
    </w:p>
    <w:p>
      <w:pPr>
        <w:spacing w:after="0" w:line="178" w:lineRule="exact"/>
        <w:rPr>
          <w:sz w:val="20"/>
          <w:szCs w:val="20"/>
          <w:color w:val="auto"/>
        </w:rPr>
      </w:pPr>
    </w:p>
    <w:p>
      <w:pPr>
        <w:ind w:left="660" w:right="300" w:firstLine="648"/>
        <w:spacing w:after="0" w:line="277" w:lineRule="auto"/>
        <w:rPr>
          <w:sz w:val="20"/>
          <w:szCs w:val="20"/>
          <w:color w:val="auto"/>
        </w:rPr>
      </w:pPr>
      <w:r>
        <w:rPr>
          <w:rFonts w:ascii="Arial" w:cs="Arial" w:eastAsia="Arial" w:hAnsi="Arial"/>
          <w:sz w:val="18"/>
          <w:szCs w:val="18"/>
          <w:color w:val="auto"/>
        </w:rPr>
        <w:t>This Code does not attempt to describe all possible conflicts of interest which could develop. Some of the more common conflicts from which directors, officers and employees must refrain, however, are set forth below.</w:t>
      </w:r>
    </w:p>
    <w:p>
      <w:pPr>
        <w:spacing w:after="0" w:line="170" w:lineRule="exact"/>
        <w:rPr>
          <w:sz w:val="20"/>
          <w:szCs w:val="20"/>
          <w:color w:val="auto"/>
        </w:rPr>
      </w:pPr>
    </w:p>
    <w:p>
      <w:pPr>
        <w:ind w:left="1300" w:right="280"/>
        <w:spacing w:after="0" w:line="259" w:lineRule="auto"/>
        <w:rPr>
          <w:sz w:val="20"/>
          <w:szCs w:val="20"/>
          <w:color w:val="auto"/>
        </w:rPr>
      </w:pPr>
      <w:r>
        <w:rPr>
          <w:rFonts w:ascii="Arial" w:cs="Arial" w:eastAsia="Arial" w:hAnsi="Arial"/>
          <w:sz w:val="18"/>
          <w:szCs w:val="18"/>
          <w:b w:val="1"/>
          <w:bCs w:val="1"/>
          <w:i w:val="1"/>
          <w:iCs w:val="1"/>
          <w:u w:val="single" w:color="auto"/>
          <w:color w:val="auto"/>
        </w:rPr>
        <w:t>Simultaneous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almost always a conflict of interest for a Company employee to work simultaneously for a competitor,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or supplier. Except with the prior approval of the Board, Company employees are not allowed to work for a competitor as a consultant or board member. The best policy is to avoid any direct or indirect business connection with our customers, suppliers or competitors, except on our behalf.</w:t>
      </w:r>
    </w:p>
    <w:p>
      <w:pPr>
        <w:spacing w:after="0" w:line="187"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b w:val="1"/>
          <w:bCs w:val="1"/>
          <w:i w:val="1"/>
          <w:iCs w:val="1"/>
          <w:u w:val="single" w:color="auto"/>
          <w:color w:val="auto"/>
        </w:rPr>
        <w:t>Compensation from Non-Company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officers and employees may not accept compensation, in any form,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performed for the Company from any source other than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right="20"/>
        <w:spacing w:after="0" w:line="266" w:lineRule="auto"/>
        <w:rPr>
          <w:sz w:val="20"/>
          <w:szCs w:val="20"/>
          <w:color w:val="auto"/>
        </w:rPr>
      </w:pPr>
      <w:r>
        <w:rPr>
          <w:rFonts w:ascii="Arial" w:cs="Arial" w:eastAsia="Arial" w:hAnsi="Arial"/>
          <w:sz w:val="18"/>
          <w:szCs w:val="18"/>
          <w:b w:val="1"/>
          <w:bCs w:val="1"/>
          <w:i w:val="1"/>
          <w:iCs w:val="1"/>
          <w:u w:val="single" w:color="auto"/>
          <w:color w:val="auto"/>
        </w:rPr>
        <w:t>Relationship of Company with Third Parties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officers and employees may not engage in any conduct or activities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inconsistent with the Company’s best interests or that disrupt or impair the Company’s relationship with any person or entity with which the Company has or proposes to enter into a business or contractual relationship.</w:t>
      </w:r>
    </w:p>
    <w:p>
      <w:pPr>
        <w:spacing w:after="0" w:line="176" w:lineRule="exact"/>
        <w:rPr>
          <w:sz w:val="20"/>
          <w:szCs w:val="20"/>
          <w:color w:val="auto"/>
        </w:rPr>
      </w:pPr>
    </w:p>
    <w:p>
      <w:pPr>
        <w:ind w:left="1300" w:right="120"/>
        <w:spacing w:after="0" w:line="266" w:lineRule="auto"/>
        <w:rPr>
          <w:sz w:val="20"/>
          <w:szCs w:val="20"/>
          <w:color w:val="auto"/>
        </w:rPr>
      </w:pPr>
      <w:r>
        <w:rPr>
          <w:rFonts w:ascii="Arial" w:cs="Arial" w:eastAsia="Arial" w:hAnsi="Arial"/>
          <w:sz w:val="18"/>
          <w:szCs w:val="18"/>
          <w:b w:val="1"/>
          <w:bCs w:val="1"/>
          <w:i w:val="1"/>
          <w:iCs w:val="1"/>
          <w:u w:val="single" w:color="auto"/>
          <w:color w:val="auto"/>
        </w:rPr>
        <w:t>Gifts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officers, employees and members of their respective families may not offer, give, or receive gifts from persons or entities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deal with the Company in those cases where any such gift is being made in order to influence such person’s actions, or where acceptance of the gift could create the appearance of a conflict of interest.</w:t>
      </w:r>
    </w:p>
    <w:p>
      <w:pPr>
        <w:spacing w:after="0" w:line="180" w:lineRule="exact"/>
        <w:rPr>
          <w:sz w:val="20"/>
          <w:szCs w:val="20"/>
          <w:color w:val="auto"/>
        </w:rPr>
      </w:pPr>
    </w:p>
    <w:p>
      <w:pPr>
        <w:ind w:left="660" w:right="100" w:firstLine="648"/>
        <w:spacing w:after="0" w:line="259" w:lineRule="auto"/>
        <w:rPr>
          <w:sz w:val="20"/>
          <w:szCs w:val="20"/>
          <w:color w:val="auto"/>
        </w:rPr>
      </w:pPr>
      <w:r>
        <w:rPr>
          <w:rFonts w:ascii="Arial" w:cs="Arial" w:eastAsia="Arial" w:hAnsi="Arial"/>
          <w:sz w:val="18"/>
          <w:szCs w:val="18"/>
          <w:color w:val="auto"/>
        </w:rPr>
        <w:t>Conflicts of interest are prohibited as a matter of Company policy. Conflicts of interest may not always be clear-cut, so if you have a question, you must consult with higher levels of management or the Company’s legal counsel. Any employee, officer or director who becomes aware of a conflict or potential conflict must immediately bring it to the attention of a supervisor, manager or other appropriate personnel or consult the procedures described in this Code.</w:t>
      </w:r>
    </w:p>
    <w:p>
      <w:pPr>
        <w:spacing w:after="0" w:line="18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Opportunities</w:t>
      </w:r>
      <w:r>
        <w:rPr>
          <w:rFonts w:ascii="Arial" w:cs="Arial" w:eastAsia="Arial" w:hAnsi="Arial"/>
          <w:sz w:val="18"/>
          <w:szCs w:val="18"/>
          <w:color w:val="auto"/>
        </w:rPr>
        <w:t>.</w:t>
      </w:r>
    </w:p>
    <w:p>
      <w:pPr>
        <w:spacing w:after="0" w:line="229" w:lineRule="exact"/>
        <w:rPr>
          <w:sz w:val="20"/>
          <w:szCs w:val="20"/>
          <w:color w:val="auto"/>
        </w:rPr>
      </w:pPr>
    </w:p>
    <w:p>
      <w:pPr>
        <w:ind w:left="660" w:right="100" w:firstLine="648"/>
        <w:spacing w:after="0" w:line="342" w:lineRule="auto"/>
        <w:rPr>
          <w:sz w:val="20"/>
          <w:szCs w:val="20"/>
          <w:color w:val="auto"/>
        </w:rPr>
      </w:pPr>
      <w:r>
        <w:rPr>
          <w:rFonts w:ascii="Arial" w:cs="Arial" w:eastAsia="Arial" w:hAnsi="Arial"/>
          <w:sz w:val="16"/>
          <w:szCs w:val="16"/>
          <w:color w:val="auto"/>
        </w:rPr>
        <w:t>Employees, officers and directors owe a duty to the Company to advance its legitimate interests when the opportunity to do so arises. Employees, officers and directors are prohibited from (a) taking for themselves personally opportunities that properly belong to the Company or are</w:t>
      </w:r>
    </w:p>
    <w:p>
      <w:pPr>
        <w:sectPr>
          <w:pgSz w:w="11900" w:h="16894" w:orient="portrait"/>
          <w:cols w:equalWidth="0" w:num="1">
            <w:col w:w="11400"/>
          </w:cols>
          <w:pgMar w:left="240" w:top="553" w:right="259" w:bottom="0" w:gutter="0" w:footer="0" w:header="0"/>
        </w:sectPr>
      </w:pPr>
    </w:p>
    <w:bookmarkStart w:id="18" w:name="page19"/>
    <w:bookmarkEnd w:id="18"/>
    <w:p>
      <w:pPr>
        <w:ind w:left="4"/>
        <w:spacing w:after="0"/>
        <w:rPr>
          <w:sz w:val="20"/>
          <w:szCs w:val="20"/>
          <w:color w:val="auto"/>
        </w:rPr>
      </w:pPr>
      <w:r>
        <w:rPr>
          <w:rFonts w:ascii="Arial" w:cs="Arial" w:eastAsia="Arial" w:hAnsi="Arial"/>
          <w:sz w:val="16"/>
          <w:szCs w:val="16"/>
          <w:color w:val="auto"/>
        </w:rPr>
        <w:t>discovered through the use of corporate property, information or position; (b) using corporate property, information or position for personal gain; and</w:t>
      </w:r>
    </w:p>
    <w:p>
      <w:pPr>
        <w:spacing w:after="0" w:line="46" w:lineRule="exact"/>
        <w:rPr>
          <w:sz w:val="20"/>
          <w:szCs w:val="20"/>
          <w:color w:val="auto"/>
        </w:rPr>
      </w:pPr>
    </w:p>
    <w:p>
      <w:pPr>
        <w:ind w:left="4" w:right="260" w:hanging="4"/>
        <w:spacing w:after="0" w:line="261"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competing with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Company’s disinterested directors determine that the Company will not pursue an opportunity that relates to the Company’s business, a director may do so.</w:t>
      </w:r>
    </w:p>
    <w:p>
      <w:pPr>
        <w:spacing w:after="0" w:line="180" w:lineRule="exact"/>
        <w:rPr>
          <w:sz w:val="20"/>
          <w:szCs w:val="20"/>
          <w:color w:val="auto"/>
        </w:rPr>
      </w:pPr>
    </w:p>
    <w:p>
      <w:pPr>
        <w:ind w:left="324" w:hanging="324"/>
        <w:spacing w:after="0"/>
        <w:tabs>
          <w:tab w:leader="none" w:pos="3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29" w:lineRule="exact"/>
        <w:rPr>
          <w:sz w:val="20"/>
          <w:szCs w:val="20"/>
          <w:color w:val="auto"/>
        </w:rPr>
      </w:pPr>
    </w:p>
    <w:p>
      <w:pPr>
        <w:ind w:left="4" w:right="320" w:firstLine="324"/>
        <w:spacing w:after="0" w:line="259" w:lineRule="auto"/>
        <w:rPr>
          <w:sz w:val="20"/>
          <w:szCs w:val="20"/>
          <w:color w:val="auto"/>
        </w:rPr>
      </w:pPr>
      <w:r>
        <w:rPr>
          <w:rFonts w:ascii="Arial" w:cs="Arial" w:eastAsia="Arial" w:hAnsi="Arial"/>
          <w:sz w:val="18"/>
          <w:szCs w:val="18"/>
          <w:color w:val="auto"/>
        </w:rPr>
        <w:t>Employees, officers and directors of the Company must maintain the confidentiality of confidential information entrusted to them by the Company or its suppliers or customers, except when disclosure is authorized by senior management or required by laws, regulations or legal proceedings. Confidential information includes all non-public information that might be of use to competitors of the Company, or harmful to the Company or its customers, if disclosed.</w:t>
      </w:r>
    </w:p>
    <w:p>
      <w:pPr>
        <w:spacing w:after="0" w:line="183" w:lineRule="exact"/>
        <w:rPr>
          <w:sz w:val="20"/>
          <w:szCs w:val="20"/>
          <w:color w:val="auto"/>
        </w:rPr>
      </w:pPr>
    </w:p>
    <w:p>
      <w:pPr>
        <w:ind w:left="324" w:hanging="324"/>
        <w:spacing w:after="0"/>
        <w:tabs>
          <w:tab w:leader="none" w:pos="3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Dealing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 w:right="100" w:firstLine="648"/>
        <w:spacing w:after="0" w:line="264" w:lineRule="auto"/>
        <w:rPr>
          <w:sz w:val="20"/>
          <w:szCs w:val="20"/>
          <w:color w:val="auto"/>
        </w:rPr>
      </w:pPr>
      <w:r>
        <w:rPr>
          <w:rFonts w:ascii="Arial" w:cs="Arial" w:eastAsia="Arial" w:hAnsi="Arial"/>
          <w:sz w:val="18"/>
          <w:szCs w:val="18"/>
          <w:color w:val="auto"/>
        </w:rPr>
        <w:t>Each employee, officer and director shall endeavor to deal fairly with the Company’s customers, suppliers, competitors, directors, officers and employees. None shall take unfair advantage of anyone through manipulation, concealment, abuse of privileged information, misrepresentation of material facts or any other unfair dealing practice.</w:t>
      </w:r>
    </w:p>
    <w:p>
      <w:pPr>
        <w:spacing w:after="0" w:line="177" w:lineRule="exact"/>
        <w:rPr>
          <w:sz w:val="20"/>
          <w:szCs w:val="20"/>
          <w:color w:val="auto"/>
        </w:rPr>
      </w:pPr>
    </w:p>
    <w:p>
      <w:pPr>
        <w:ind w:left="324" w:hanging="324"/>
        <w:spacing w:after="0"/>
        <w:tabs>
          <w:tab w:leader="none" w:pos="3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Protection and Proper Use of Company Assets</w:t>
      </w:r>
      <w:r>
        <w:rPr>
          <w:rFonts w:ascii="Arial" w:cs="Arial" w:eastAsia="Arial" w:hAnsi="Arial"/>
          <w:sz w:val="18"/>
          <w:szCs w:val="18"/>
          <w:b w:val="1"/>
          <w:bCs w:val="1"/>
          <w:color w:val="auto"/>
        </w:rPr>
        <w:t>.</w:t>
      </w:r>
    </w:p>
    <w:p>
      <w:pPr>
        <w:spacing w:after="0" w:line="229" w:lineRule="exact"/>
        <w:rPr>
          <w:sz w:val="20"/>
          <w:szCs w:val="20"/>
          <w:color w:val="auto"/>
        </w:rPr>
      </w:pPr>
    </w:p>
    <w:p>
      <w:pPr>
        <w:ind w:left="4" w:firstLine="648"/>
        <w:spacing w:after="0" w:line="264" w:lineRule="auto"/>
        <w:rPr>
          <w:sz w:val="20"/>
          <w:szCs w:val="20"/>
          <w:color w:val="auto"/>
        </w:rPr>
      </w:pPr>
      <w:r>
        <w:rPr>
          <w:rFonts w:ascii="Arial" w:cs="Arial" w:eastAsia="Arial" w:hAnsi="Arial"/>
          <w:sz w:val="18"/>
          <w:szCs w:val="18"/>
          <w:color w:val="auto"/>
        </w:rPr>
        <w:t>All employees, officers and directors shall protect the Company’s assets and ensure their efficient use. Theft, loss, misuse, carelessness, and waste of assets have a direct impact on the Company’s profitability. All Company assets shall be used for legitimate business purposes. The personal use of Company assets without permission is prohibited.</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4" w:hanging="324"/>
        <w:spacing w:after="0"/>
        <w:tabs>
          <w:tab w:leader="none" w:pos="32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Laws, Rules and Regulations</w:t>
      </w:r>
      <w:r>
        <w:rPr>
          <w:rFonts w:ascii="Arial" w:cs="Arial" w:eastAsia="Arial" w:hAnsi="Arial"/>
          <w:sz w:val="18"/>
          <w:szCs w:val="18"/>
          <w:color w:val="auto"/>
        </w:rPr>
        <w:t>.</w:t>
      </w:r>
    </w:p>
    <w:p>
      <w:pPr>
        <w:spacing w:after="0" w:line="229" w:lineRule="exact"/>
        <w:rPr>
          <w:sz w:val="20"/>
          <w:szCs w:val="20"/>
          <w:color w:val="auto"/>
        </w:rPr>
      </w:pPr>
    </w:p>
    <w:p>
      <w:pPr>
        <w:ind w:left="4" w:right="500" w:firstLine="324"/>
        <w:spacing w:after="0" w:line="277" w:lineRule="auto"/>
        <w:rPr>
          <w:sz w:val="20"/>
          <w:szCs w:val="20"/>
          <w:color w:val="auto"/>
        </w:rPr>
      </w:pPr>
      <w:r>
        <w:rPr>
          <w:rFonts w:ascii="Arial" w:cs="Arial" w:eastAsia="Arial" w:hAnsi="Arial"/>
          <w:sz w:val="18"/>
          <w:szCs w:val="18"/>
          <w:color w:val="auto"/>
        </w:rPr>
        <w:t>All employees, officers and directors of the Company shall respect and comply with all of the laws, rules and regulations applicable to the Company.</w:t>
      </w:r>
    </w:p>
    <w:p>
      <w:pPr>
        <w:spacing w:after="0" w:line="170" w:lineRule="exact"/>
        <w:rPr>
          <w:sz w:val="20"/>
          <w:szCs w:val="20"/>
          <w:color w:val="auto"/>
        </w:rPr>
      </w:pPr>
    </w:p>
    <w:p>
      <w:pPr>
        <w:ind w:left="4" w:right="180" w:firstLine="324"/>
        <w:spacing w:after="0" w:line="276" w:lineRule="auto"/>
        <w:rPr>
          <w:sz w:val="20"/>
          <w:szCs w:val="20"/>
          <w:color w:val="auto"/>
        </w:rPr>
      </w:pPr>
      <w:r>
        <w:rPr>
          <w:rFonts w:ascii="Arial" w:cs="Arial" w:eastAsia="Arial" w:hAnsi="Arial"/>
          <w:sz w:val="17"/>
          <w:szCs w:val="17"/>
          <w:color w:val="auto"/>
        </w:rPr>
        <w:t>Such legal compliance shall include, without limitation, compliance with the “insider trading” prohibitions applicable to the Company and its employees, officers and directors. Generally, employees, officers and directors who have access to or knowledge of confidential or non-public information from or about the Company are not permitted to buy, sell or otherwise trade in the Company’s securities, whether or not they are using or relying upon that information. This restriction extends to sharing or tipping others about such information, especially since the individuals receiving such information might utilize such information to trade in the Company’s securities.</w:t>
      </w:r>
    </w:p>
    <w:p>
      <w:pPr>
        <w:spacing w:after="0" w:line="173" w:lineRule="exact"/>
        <w:rPr>
          <w:sz w:val="20"/>
          <w:szCs w:val="20"/>
          <w:color w:val="auto"/>
        </w:rPr>
      </w:pPr>
    </w:p>
    <w:p>
      <w:pPr>
        <w:ind w:left="324"/>
        <w:spacing w:after="0"/>
        <w:rPr>
          <w:sz w:val="20"/>
          <w:szCs w:val="20"/>
          <w:color w:val="auto"/>
        </w:rPr>
      </w:pPr>
      <w:r>
        <w:rPr>
          <w:rFonts w:ascii="Arial" w:cs="Arial" w:eastAsia="Arial" w:hAnsi="Arial"/>
          <w:sz w:val="18"/>
          <w:szCs w:val="18"/>
          <w:color w:val="auto"/>
        </w:rPr>
        <w:t>This Code does not summarize all laws, rules and regulations applicable to the Company and its employees, officers and directors.</w:t>
      </w:r>
    </w:p>
    <w:p>
      <w:pPr>
        <w:spacing w:after="0" w:line="221" w:lineRule="exact"/>
        <w:rPr>
          <w:sz w:val="20"/>
          <w:szCs w:val="20"/>
          <w:color w:val="auto"/>
        </w:rPr>
      </w:pPr>
    </w:p>
    <w:p>
      <w:pPr>
        <w:ind w:left="324" w:hanging="324"/>
        <w:spacing w:after="0"/>
        <w:tabs>
          <w:tab w:leader="none" w:pos="3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Practices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 w:right="120" w:firstLine="324"/>
        <w:spacing w:after="0" w:line="264" w:lineRule="auto"/>
        <w:rPr>
          <w:sz w:val="20"/>
          <w:szCs w:val="20"/>
          <w:color w:val="auto"/>
        </w:rPr>
      </w:pPr>
      <w:r>
        <w:rPr>
          <w:rFonts w:ascii="Arial" w:cs="Arial" w:eastAsia="Arial" w:hAnsi="Arial"/>
          <w:sz w:val="18"/>
          <w:szCs w:val="18"/>
          <w:color w:val="auto"/>
        </w:rPr>
        <w:t>It is the policy of the Company to fully and fairly disclose the financial condition of the Company in compliance with all applicable accounting principles, laws, rules and regulations. All books and records of the Company shall be kept in such a way as to fully and fairly reflect all Company transactions.</w:t>
      </w:r>
    </w:p>
    <w:p>
      <w:pPr>
        <w:spacing w:after="0" w:line="177" w:lineRule="exact"/>
        <w:rPr>
          <w:sz w:val="20"/>
          <w:szCs w:val="20"/>
          <w:color w:val="auto"/>
        </w:rPr>
      </w:pPr>
    </w:p>
    <w:p>
      <w:pPr>
        <w:ind w:left="324" w:hanging="324"/>
        <w:spacing w:after="0"/>
        <w:tabs>
          <w:tab w:leader="none" w:pos="3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Document Retention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4" w:right="140" w:firstLine="324"/>
        <w:spacing w:after="0" w:line="286" w:lineRule="auto"/>
        <w:rPr>
          <w:sz w:val="20"/>
          <w:szCs w:val="20"/>
          <w:color w:val="auto"/>
        </w:rPr>
      </w:pPr>
      <w:r>
        <w:rPr>
          <w:rFonts w:ascii="Arial" w:cs="Arial" w:eastAsia="Arial" w:hAnsi="Arial"/>
          <w:sz w:val="17"/>
          <w:szCs w:val="17"/>
          <w:color w:val="auto"/>
        </w:rPr>
        <w:t>Directors, officers and employees are expected to become familiar with the Company’s policies regarding records retention applicable to them. Records shall always be retained or destroyed according to the Company’s record retention policies. In accordance with those policies, in the event of a subpoena, or a pending, imminent or contemplated litigation or governmental investigation, records should not be destroyed.</w:t>
      </w:r>
    </w:p>
    <w:p>
      <w:pPr>
        <w:spacing w:after="0" w:line="162" w:lineRule="exact"/>
        <w:rPr>
          <w:sz w:val="20"/>
          <w:szCs w:val="20"/>
          <w:color w:val="auto"/>
        </w:rPr>
      </w:pPr>
    </w:p>
    <w:p>
      <w:pPr>
        <w:ind w:left="324" w:hanging="324"/>
        <w:spacing w:after="0"/>
        <w:tabs>
          <w:tab w:leader="none" w:pos="3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Reporting Any Illegal or Unethical Behavior</w:t>
      </w:r>
      <w:r>
        <w:rPr>
          <w:rFonts w:ascii="Arial" w:cs="Arial" w:eastAsia="Arial" w:hAnsi="Arial"/>
          <w:sz w:val="18"/>
          <w:szCs w:val="18"/>
          <w:b w:val="1"/>
          <w:bCs w:val="1"/>
          <w:color w:val="auto"/>
        </w:rPr>
        <w:t>.</w:t>
      </w:r>
    </w:p>
    <w:p>
      <w:pPr>
        <w:spacing w:after="0" w:line="229" w:lineRule="exact"/>
        <w:rPr>
          <w:sz w:val="20"/>
          <w:szCs w:val="20"/>
          <w:color w:val="auto"/>
        </w:rPr>
      </w:pPr>
    </w:p>
    <w:p>
      <w:pPr>
        <w:ind w:left="4" w:right="120" w:firstLine="324"/>
        <w:spacing w:after="0" w:line="293" w:lineRule="auto"/>
        <w:rPr>
          <w:sz w:val="20"/>
          <w:szCs w:val="20"/>
          <w:color w:val="auto"/>
        </w:rPr>
      </w:pPr>
      <w:r>
        <w:rPr>
          <w:rFonts w:ascii="Arial" w:cs="Arial" w:eastAsia="Arial" w:hAnsi="Arial"/>
          <w:sz w:val="16"/>
          <w:szCs w:val="16"/>
          <w:color w:val="auto"/>
        </w:rPr>
        <w:t>Employees are encouraged to talk to supervisors, managers or other appropriate personnel about observed illegal or unethical behavior. Employees, officers and directors who are concerned that violations of this Code or that other illegal or unethical conduct by employees, officers or directors of the Company have occurred or may occur should either contact their supervisor or superiors. If they do not believe it appropriate or are not comfortable approaching their supervisors or superiors about their concerns or complaints, then they may contact the Audit Committee of the Board. In compliance with recent legislation, RBC Bearings Incorporated has created a hotline for the anonymous reporting of concerns or complaints regarding unethical behavior, including accounting or auditing improprieties. Concerns may be reported by dialing 800-966-0078.</w:t>
      </w:r>
    </w:p>
    <w:p>
      <w:pPr>
        <w:spacing w:after="0" w:line="165" w:lineRule="exact"/>
        <w:rPr>
          <w:sz w:val="20"/>
          <w:szCs w:val="20"/>
          <w:color w:val="auto"/>
        </w:rPr>
      </w:pPr>
    </w:p>
    <w:p>
      <w:pPr>
        <w:ind w:left="4" w:right="120" w:firstLine="324"/>
        <w:spacing w:after="0" w:line="277" w:lineRule="auto"/>
        <w:rPr>
          <w:sz w:val="20"/>
          <w:szCs w:val="20"/>
          <w:color w:val="auto"/>
        </w:rPr>
      </w:pPr>
      <w:r>
        <w:rPr>
          <w:rFonts w:ascii="Arial" w:cs="Arial" w:eastAsia="Arial" w:hAnsi="Arial"/>
          <w:sz w:val="18"/>
          <w:szCs w:val="18"/>
          <w:color w:val="auto"/>
        </w:rPr>
        <w:t>Concerns regarding questionable accounting or auditing matters or internal controls may be communicated, confidentially and anonymously, to the Audit Committee of the Board.</w:t>
      </w:r>
    </w:p>
    <w:p>
      <w:pPr>
        <w:spacing w:after="0" w:line="170" w:lineRule="exact"/>
        <w:rPr>
          <w:sz w:val="20"/>
          <w:szCs w:val="20"/>
          <w:color w:val="auto"/>
        </w:rPr>
      </w:pPr>
    </w:p>
    <w:p>
      <w:pPr>
        <w:ind w:left="4" w:right="40" w:firstLine="324"/>
        <w:spacing w:after="0" w:line="277" w:lineRule="auto"/>
        <w:rPr>
          <w:sz w:val="20"/>
          <w:szCs w:val="20"/>
          <w:color w:val="auto"/>
        </w:rPr>
      </w:pPr>
      <w:r>
        <w:rPr>
          <w:rFonts w:ascii="Arial" w:cs="Arial" w:eastAsia="Arial" w:hAnsi="Arial"/>
          <w:sz w:val="18"/>
          <w:szCs w:val="18"/>
          <w:color w:val="auto"/>
        </w:rPr>
        <w:t>The Company will not permit retaliation of any kind by or on behalf of the Company and its employees, officers and directors against good faith reports or complaints of violations of this Code or other illegal or unethical conduct.</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04" w:hanging="304"/>
        <w:spacing w:after="0"/>
        <w:tabs>
          <w:tab w:leader="none" w:pos="30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Penalties for Failure to Comply</w:t>
      </w:r>
    </w:p>
    <w:p>
      <w:pPr>
        <w:spacing w:after="0" w:line="229" w:lineRule="exact"/>
        <w:rPr>
          <w:sz w:val="20"/>
          <w:szCs w:val="20"/>
          <w:color w:val="auto"/>
        </w:rPr>
      </w:pPr>
    </w:p>
    <w:p>
      <w:pPr>
        <w:ind w:left="4" w:right="680" w:firstLine="324"/>
        <w:spacing w:after="0" w:line="342" w:lineRule="auto"/>
        <w:rPr>
          <w:sz w:val="20"/>
          <w:szCs w:val="20"/>
          <w:color w:val="auto"/>
        </w:rPr>
      </w:pPr>
      <w:r>
        <w:rPr>
          <w:rFonts w:ascii="Arial" w:cs="Arial" w:eastAsia="Arial" w:hAnsi="Arial"/>
          <w:sz w:val="16"/>
          <w:szCs w:val="16"/>
          <w:color w:val="auto"/>
        </w:rPr>
        <w:t>Adherence to this Code of Conduct is a condition of employment. Any employee or director who ignores or violates this Code and any supervisor or superior who penalizes a subordinate for attempting in good faith to comply with this Code, including for reporting suspected</w:t>
      </w:r>
    </w:p>
    <w:p>
      <w:pPr>
        <w:sectPr>
          <w:pgSz w:w="11900" w:h="16838" w:orient="portrait"/>
          <w:cols w:equalWidth="0" w:num="1">
            <w:col w:w="10764"/>
          </w:cols>
          <w:pgMar w:left="896" w:top="125" w:right="239" w:bottom="0" w:gutter="0" w:footer="0" w:header="0"/>
        </w:sectPr>
      </w:pPr>
    </w:p>
    <w:bookmarkStart w:id="19" w:name="page20"/>
    <w:bookmarkEnd w:id="19"/>
    <w:p>
      <w:pPr>
        <w:ind w:left="660" w:right="560"/>
        <w:spacing w:after="0" w:line="277" w:lineRule="auto"/>
        <w:rPr>
          <w:sz w:val="20"/>
          <w:szCs w:val="20"/>
          <w:color w:val="auto"/>
        </w:rPr>
      </w:pPr>
      <w:r>
        <w:rPr>
          <w:rFonts w:ascii="Arial" w:cs="Arial" w:eastAsia="Arial" w:hAnsi="Arial"/>
          <w:sz w:val="18"/>
          <w:szCs w:val="18"/>
          <w:color w:val="auto"/>
        </w:rPr>
        <w:t>violations of this Code, will be subject to disciplinary action by the Company as is appropriate under the circumstances, up to and including immediate dismissal.</w:t>
      </w:r>
    </w:p>
    <w:p>
      <w:pPr>
        <w:spacing w:after="0" w:line="387"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color w:val="auto"/>
        </w:rPr>
        <w:t>THIS POLICY HAS BEEN APPROVED BY THE AUDIT COMMITTEE OF THE BOARD OF DIRECTORS OF RBC BEARINGS INCORPORATED.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Please sign and date below acknowledging that you have received a copy of the Code of Conduct and Ethics, read, understand and agree to adhere to its conditions.</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Acknowledgement: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Employee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-130810</wp:posOffset>
            </wp:positionV>
            <wp:extent cx="24441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Employee 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-127635</wp:posOffset>
            </wp:positionV>
            <wp:extent cx="2444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Date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-127635</wp:posOffset>
            </wp:positionV>
            <wp:extent cx="24441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Dr. Michael J. Hartnett, certify that:</w:t>
      </w:r>
    </w:p>
    <w:p>
      <w:pPr>
        <w:spacing w:after="0" w:line="225"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RBC Bearings Incorporated;</w:t>
      </w:r>
    </w:p>
    <w:p>
      <w:pPr>
        <w:spacing w:after="0" w:line="225" w:lineRule="exact"/>
        <w:rPr>
          <w:rFonts w:ascii="Arial" w:cs="Arial" w:eastAsia="Arial" w:hAnsi="Arial"/>
          <w:sz w:val="18"/>
          <w:szCs w:val="18"/>
          <w:color w:val="auto"/>
        </w:rPr>
      </w:pPr>
    </w:p>
    <w:p>
      <w:pPr>
        <w:ind w:right="460" w:firstLine="8"/>
        <w:spacing w:after="0" w:line="342"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8"/>
        <w:spacing w:after="0" w:line="277" w:lineRule="auto"/>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20" w:hanging="4"/>
        <w:spacing w:after="0" w:line="264" w:lineRule="auto"/>
        <w:tabs>
          <w:tab w:leader="none" w:pos="8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920" w:hanging="4"/>
        <w:spacing w:after="0" w:line="342" w:lineRule="auto"/>
        <w:tabs>
          <w:tab w:leader="none" w:pos="85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340" w:hanging="4"/>
        <w:spacing w:after="0" w:line="342" w:lineRule="auto"/>
        <w:tabs>
          <w:tab w:leader="none" w:pos="845"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680" w:firstLine="8"/>
        <w:spacing w:after="0" w:line="308" w:lineRule="auto"/>
        <w:tabs>
          <w:tab w:leader="none" w:pos="17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4"/>
        <w:spacing w:after="0" w:line="277" w:lineRule="auto"/>
        <w:tabs>
          <w:tab w:leader="none" w:pos="8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80" w:hanging="4"/>
        <w:spacing w:after="0" w:line="277" w:lineRule="auto"/>
        <w:tabs>
          <w:tab w:leader="none" w:pos="8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February 14, 2006</w:t>
            </w:r>
          </w:p>
        </w:tc>
        <w:tc>
          <w:tcPr>
            <w:tcW w:w="8440" w:type="dxa"/>
            <w:vAlign w:val="bottom"/>
            <w:gridSpan w:val="2"/>
          </w:tcPr>
          <w:p>
            <w:pPr>
              <w:jc w:val="right"/>
              <w:ind w:right="4790"/>
              <w:spacing w:after="0"/>
              <w:rPr>
                <w:sz w:val="20"/>
                <w:szCs w:val="20"/>
                <w:color w:val="auto"/>
              </w:rPr>
            </w:pPr>
            <w:r>
              <w:rPr>
                <w:rFonts w:ascii="Arial" w:cs="Arial" w:eastAsia="Arial" w:hAnsi="Arial"/>
                <w:sz w:val="18"/>
                <w:szCs w:val="18"/>
                <w:color w:val="auto"/>
              </w:rPr>
              <w:t>By:  /s/ Dr. Michael J. Hartnett</w:t>
            </w:r>
          </w:p>
        </w:tc>
        <w:tc>
          <w:tcPr>
            <w:tcW w:w="20" w:type="dxa"/>
            <w:vAlign w:val="bottom"/>
          </w:tcPr>
          <w:p>
            <w:pPr>
              <w:spacing w:after="0"/>
              <w:rPr>
                <w:sz w:val="20"/>
                <w:szCs w:val="20"/>
                <w:color w:val="auto"/>
              </w:rPr>
            </w:pPr>
          </w:p>
        </w:tc>
      </w:tr>
      <w:tr>
        <w:trPr>
          <w:trHeight w:val="195"/>
        </w:trPr>
        <w:tc>
          <w:tcPr>
            <w:tcW w:w="2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Dr. Michael J. Hartnett</w:t>
            </w:r>
          </w:p>
        </w:tc>
        <w:tc>
          <w:tcPr>
            <w:tcW w:w="20" w:type="dxa"/>
            <w:vAlign w:val="bottom"/>
          </w:tcPr>
          <w:p>
            <w:pPr>
              <w:spacing w:after="0"/>
              <w:rPr>
                <w:sz w:val="16"/>
                <w:szCs w:val="16"/>
                <w:color w:val="auto"/>
              </w:rPr>
            </w:pPr>
          </w:p>
        </w:tc>
      </w:tr>
      <w:tr>
        <w:trPr>
          <w:trHeight w:val="230"/>
        </w:trPr>
        <w:tc>
          <w:tcPr>
            <w:tcW w:w="29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2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844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118"/>
        </w:trPr>
        <w:tc>
          <w:tcPr>
            <w:tcW w:w="29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A. Bergeron,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RBC Bearings Incorporated;</w:t>
      </w:r>
    </w:p>
    <w:p>
      <w:pPr>
        <w:spacing w:after="0" w:line="225" w:lineRule="exact"/>
        <w:rPr>
          <w:rFonts w:ascii="Arial" w:cs="Arial" w:eastAsia="Arial" w:hAnsi="Arial"/>
          <w:sz w:val="18"/>
          <w:szCs w:val="18"/>
          <w:color w:val="auto"/>
        </w:rPr>
      </w:pPr>
    </w:p>
    <w:p>
      <w:pPr>
        <w:ind w:right="46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20" w:hanging="4"/>
        <w:spacing w:after="0" w:line="264" w:lineRule="auto"/>
        <w:tabs>
          <w:tab w:leader="none" w:pos="8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920" w:hanging="4"/>
        <w:spacing w:after="0" w:line="342" w:lineRule="auto"/>
        <w:tabs>
          <w:tab w:leader="none" w:pos="85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340" w:hanging="4"/>
        <w:spacing w:after="0" w:line="342" w:lineRule="auto"/>
        <w:tabs>
          <w:tab w:leader="none" w:pos="845"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right="680" w:firstLine="8"/>
        <w:spacing w:after="0" w:line="308" w:lineRule="auto"/>
        <w:tabs>
          <w:tab w:leader="none" w:pos="17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40" w:hanging="4"/>
        <w:spacing w:after="0" w:line="277" w:lineRule="auto"/>
        <w:tabs>
          <w:tab w:leader="none" w:pos="8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80" w:hanging="4"/>
        <w:spacing w:after="0" w:line="277" w:lineRule="auto"/>
        <w:tabs>
          <w:tab w:leader="none" w:pos="8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February 14, 2006</w:t>
            </w:r>
          </w:p>
        </w:tc>
        <w:tc>
          <w:tcPr>
            <w:tcW w:w="8260" w:type="dxa"/>
            <w:vAlign w:val="bottom"/>
            <w:gridSpan w:val="2"/>
          </w:tcPr>
          <w:p>
            <w:pPr>
              <w:jc w:val="right"/>
              <w:ind w:right="4670"/>
              <w:spacing w:after="0"/>
              <w:rPr>
                <w:sz w:val="20"/>
                <w:szCs w:val="20"/>
                <w:color w:val="auto"/>
              </w:rPr>
            </w:pPr>
            <w:r>
              <w:rPr>
                <w:rFonts w:ascii="Arial" w:cs="Arial" w:eastAsia="Arial" w:hAnsi="Arial"/>
                <w:sz w:val="18"/>
                <w:szCs w:val="18"/>
                <w:color w:val="auto"/>
              </w:rPr>
              <w:t>By:   /s/ Daniel A. Bergeron</w:t>
            </w:r>
          </w:p>
        </w:tc>
        <w:tc>
          <w:tcPr>
            <w:tcW w:w="20" w:type="dxa"/>
            <w:vAlign w:val="bottom"/>
          </w:tcPr>
          <w:p>
            <w:pPr>
              <w:spacing w:after="0"/>
              <w:rPr>
                <w:sz w:val="20"/>
                <w:szCs w:val="20"/>
                <w:color w:val="auto"/>
              </w:rPr>
            </w:pPr>
          </w:p>
        </w:tc>
      </w:tr>
      <w:tr>
        <w:trPr>
          <w:trHeight w:val="195"/>
        </w:trPr>
        <w:tc>
          <w:tcPr>
            <w:tcW w:w="3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A. Bergeron</w:t>
            </w:r>
          </w:p>
        </w:tc>
        <w:tc>
          <w:tcPr>
            <w:tcW w:w="2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826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r>
      <w:tr>
        <w:trPr>
          <w:trHeight w:val="118"/>
        </w:trPr>
        <w:tc>
          <w:tcPr>
            <w:tcW w:w="316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6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Dr. Michael J. Hartnett, the President and Chief Executive Officer of RBC Bearings Incorporated (the “Company”), pursuant to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§1350, hereby certifies that:</w:t>
      </w:r>
    </w:p>
    <w:p>
      <w:pPr>
        <w:spacing w:after="0" w:line="211" w:lineRule="exact"/>
        <w:rPr>
          <w:sz w:val="20"/>
          <w:szCs w:val="20"/>
          <w:color w:val="auto"/>
        </w:rPr>
      </w:pPr>
    </w:p>
    <w:p>
      <w:pPr>
        <w:ind w:left="1300" w:right="380" w:firstLine="5"/>
        <w:spacing w:after="0" w:line="277" w:lineRule="auto"/>
        <w:tabs>
          <w:tab w:leader="none" w:pos="15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2005 of the Company (the “Report”)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1300" w:right="240" w:firstLine="5"/>
        <w:spacing w:after="0" w:line="277" w:lineRule="auto"/>
        <w:tabs>
          <w:tab w:leader="none" w:pos="15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2006</w:t>
      </w:r>
    </w:p>
    <w:p>
      <w:pPr>
        <w:spacing w:after="0" w:line="200" w:lineRule="exact"/>
        <w:rPr>
          <w:sz w:val="20"/>
          <w:szCs w:val="20"/>
          <w:color w:val="auto"/>
        </w:rPr>
      </w:pPr>
    </w:p>
    <w:p>
      <w:pPr>
        <w:spacing w:after="0" w:line="24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Dr. Michael J. Hartnett</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Dr. Michael J. Hartnett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-130810</wp:posOffset>
            </wp:positionV>
            <wp:extent cx="3370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undersigned, Daniel A. Bergeron, Chief Financial Officer, of RBC Bearings Incorporated (the “Company”), pursuant to 18 U.S.C. §1350, hereby certifies:</w:t>
      </w:r>
    </w:p>
    <w:p>
      <w:pPr>
        <w:spacing w:after="0" w:line="170" w:lineRule="exact"/>
        <w:rPr>
          <w:sz w:val="20"/>
          <w:szCs w:val="20"/>
          <w:color w:val="auto"/>
        </w:rPr>
      </w:pPr>
    </w:p>
    <w:p>
      <w:pPr>
        <w:ind w:left="1300" w:right="380" w:firstLine="5"/>
        <w:spacing w:after="0" w:line="277" w:lineRule="auto"/>
        <w:tabs>
          <w:tab w:leader="none" w:pos="15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2005 of the Company (the “Report”) fully complies with the requirements of Section 13(a) and 15(d) of the Securities Exchange Act of 1934; and</w:t>
      </w:r>
    </w:p>
    <w:p>
      <w:pPr>
        <w:spacing w:after="0" w:line="170" w:lineRule="exact"/>
        <w:rPr>
          <w:rFonts w:ascii="Arial" w:cs="Arial" w:eastAsia="Arial" w:hAnsi="Arial"/>
          <w:sz w:val="18"/>
          <w:szCs w:val="18"/>
          <w:color w:val="auto"/>
        </w:rPr>
      </w:pPr>
    </w:p>
    <w:p>
      <w:pPr>
        <w:ind w:left="1300" w:right="240" w:firstLine="5"/>
        <w:spacing w:after="0" w:line="277" w:lineRule="auto"/>
        <w:tabs>
          <w:tab w:leader="none" w:pos="15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2006</w:t>
      </w:r>
    </w:p>
    <w:p>
      <w:pPr>
        <w:spacing w:after="0" w:line="200" w:lineRule="exact"/>
        <w:rPr>
          <w:sz w:val="20"/>
          <w:szCs w:val="20"/>
          <w:color w:val="auto"/>
        </w:rPr>
      </w:pPr>
    </w:p>
    <w:p>
      <w:pPr>
        <w:spacing w:after="0" w:line="24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Daniel A. Bergeron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Daniel A.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upperLetter"/>
      <w:start w:val="9"/>
    </w:lvl>
  </w:abstractNum>
  <w:abstractNum w:abstractNumId="12">
    <w:nsid w:val="628C895D"/>
    <w:multiLevelType w:val="hybridMultilevel"/>
    <w:lvl w:ilvl="0">
      <w:lvlJc w:val="left"/>
      <w:lvlText w:val="%1."/>
      <w:numFmt w:val="upperLetter"/>
      <w:start w:val="35"/>
    </w:lvl>
  </w:abstractNum>
  <w:abstractNum w:abstractNumId="13">
    <w:nsid w:val="333AB105"/>
    <w:multiLevelType w:val="hybridMultilevel"/>
    <w:lvl w:ilvl="0">
      <w:lvlJc w:val="left"/>
      <w:lvlText w:val="%1."/>
      <w:numFmt w:val="upperLetter"/>
      <w:start w:val="6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decimal"/>
      <w:start w:val="5"/>
    </w:lvl>
  </w:abstractNum>
  <w:abstractNum w:abstractNumId="20">
    <w:nsid w:val="79838CB2"/>
    <w:multiLevelType w:val="hybridMultilevel"/>
    <w:lvl w:ilvl="0">
      <w:lvlJc w:val="left"/>
      <w:lvlText w:val="%1."/>
      <w:numFmt w:val="decimal"/>
      <w:start w:val="6"/>
    </w:lvl>
  </w:abstractNum>
  <w:abstractNum w:abstractNumId="21">
    <w:nsid w:val="4353D0CD"/>
    <w:multiLevelType w:val="hybridMultilevel"/>
    <w:lvl w:ilvl="0">
      <w:lvlJc w:val="left"/>
      <w:lvlText w:val="%1."/>
      <w:numFmt w:val="decimal"/>
      <w:start w:val="7"/>
    </w:lvl>
  </w:abstractNum>
  <w:abstractNum w:abstractNumId="22">
    <w:nsid w:val="B03E0C6"/>
    <w:multiLevelType w:val="hybridMultilevel"/>
    <w:lvl w:ilvl="0">
      <w:lvlJc w:val="left"/>
      <w:lvlText w:val="%1."/>
      <w:numFmt w:val="decimal"/>
      <w:start w:val="8"/>
    </w:lvl>
  </w:abstractNum>
  <w:abstractNum w:abstractNumId="23">
    <w:nsid w:val="189A769B"/>
    <w:multiLevelType w:val="hybridMultilevel"/>
    <w:lvl w:ilvl="0">
      <w:lvlJc w:val="left"/>
      <w:lvlText w:val="%1."/>
      <w:numFmt w:val="decimal"/>
      <w:start w:val="9"/>
    </w:lvl>
  </w:abstractNum>
  <w:abstractNum w:abstractNumId="24">
    <w:nsid w:val="54E49EB4"/>
    <w:multiLevelType w:val="hybridMultilevel"/>
    <w:lvl w:ilvl="0">
      <w:lvlJc w:val="left"/>
      <w:lvlText w:val="%1."/>
      <w:numFmt w:val="decimal"/>
      <w:start w:val="10"/>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2019-12-15T12:28:43Z</dcterms:created>
  <dcterms:modified xsi:type="dcterms:W3CDTF">2019-12-15T12:28:43Z</dcterms:modified>
</cp:coreProperties>
</file>