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9983-8k_rbcbearings.htm"/>
      <w:bookmarkStart w:id="1" w:name="ksea02999838k_rbcbearing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3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w:t>
      </w:r>
      <w:r>
        <w:rPr>
          <w:rFonts w:ascii="Times New Roman;Times;Serif" w:hAnsi="Times New Roman;Times;Serif"/>
          <w:b/>
          <w:i w:val="false"/>
          <w:caps w:val="false"/>
          <w:smallCaps w:val="false"/>
          <w:sz w:val="20"/>
        </w:rPr>
        <w:t xml:space="preserve">July 31, 2026 </w:t>
      </w:r>
      <w:r>
        <w:rPr>
          <w:rFonts w:ascii="Times New Roman;Times;Serif" w:hAnsi="Times New Roman;Times;Serif"/>
          <w:b w:val="false"/>
          <w:i w:val="false"/>
          <w:caps w:val="false"/>
          <w:smallCaps w:val="false"/>
          <w:sz w:val="20"/>
        </w:rPr>
        <w:t>(Date of earliest event reported</w:t>
      </w:r>
      <w:r>
        <w:rPr>
          <w:rFonts w:ascii="Times New Roman;Times;Serif" w:hAnsi="Times New Roman;Times;Serif"/>
          <w:b/>
          <w:i w:val="false"/>
          <w:caps w:val="false"/>
          <w:smallCaps w:val="false"/>
          <w:sz w:val="20"/>
        </w:rPr>
        <w:t xml:space="preserve">: </w:t>
      </w:r>
      <w:bookmarkStart w:id="3" w:name="xdx_90B_edei--DocumentPeriodEndDate_c202"/>
      <w:bookmarkEnd w:id="3"/>
      <w:r>
        <w:rPr>
          <w:rFonts w:ascii="Times New Roman;Times;Serif" w:hAnsi="Times New Roman;Times;Serif"/>
          <w:b/>
          <w:i w:val="false"/>
          <w:caps w:val="false"/>
          <w:smallCaps w:val="false"/>
          <w:sz w:val="20"/>
        </w:rPr>
        <w:t>July 31,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2_edei--EntityFileNumber_c20260731"/>
            <w:bookmarkEnd w:id="6"/>
            <w:r>
              <w:rPr>
                <w:b/>
                <w:sz w:val="20"/>
              </w:rPr>
              <w:t>001-40840</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95-4372080</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One Tribology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Oxford, </w:t>
      </w:r>
      <w:bookmarkStart w:id="10" w:name="xdx_901_edei--EntityAddressStateOrProvin"/>
      <w:bookmarkEnd w:id="10"/>
      <w:r>
        <w:rPr>
          <w:rFonts w:ascii="Times New Roman;Times;Serif" w:hAnsi="Times New Roman;Times;Serif"/>
          <w:b/>
          <w:i w:val="false"/>
          <w:caps w:val="false"/>
          <w:smallCaps w:val="false"/>
          <w:sz w:val="20"/>
        </w:rPr>
        <w:t xml:space="preserve">CT </w:t>
      </w:r>
      <w:bookmarkStart w:id="11" w:name="xdx_909_edei--EntityAddressPostalZipCode"/>
      <w:bookmarkEnd w:id="11"/>
      <w:r>
        <w:rPr>
          <w:rFonts w:ascii="Times New Roman;Times;Serif" w:hAnsi="Times New Roman;Times;Serif"/>
          <w:b/>
          <w:i w:val="false"/>
          <w:caps w:val="false"/>
          <w:smallCaps w:val="false"/>
          <w:sz w:val="20"/>
        </w:rPr>
        <w:t>06478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731__20"/>
      <w:bookmarkEnd w:id="12"/>
      <w:r>
        <w:rPr>
          <w:rFonts w:ascii="Times New Roman;Times;Serif" w:hAnsi="Times New Roman;Times;Serif"/>
          <w:b/>
          <w:i w:val="false"/>
          <w:caps w:val="false"/>
          <w:smallCaps w:val="false"/>
          <w:sz w:val="20"/>
        </w:rPr>
        <w:t xml:space="preserve">203) </w:t>
      </w:r>
      <w:bookmarkStart w:id="13" w:name="xdx_906_edei--LocalPhoneNumber_c20260731"/>
      <w:bookmarkEnd w:id="13"/>
      <w:r>
        <w:rPr>
          <w:rFonts w:ascii="Times New Roman;Times;Serif" w:hAnsi="Times New Roman;Times;Serif"/>
          <w:b/>
          <w:i w:val="false"/>
          <w:caps w:val="false"/>
          <w:smallCaps w:val="false"/>
          <w:sz w:val="20"/>
        </w:rPr>
        <w:t>267-7001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4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6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4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580" w:type="dxa"/>
        <w:jc w:val="left"/>
        <w:tblInd w:w="0" w:type="dxa"/>
        <w:tblLayout w:type="fixed"/>
        <w:tblCellMar>
          <w:top w:w="0" w:type="dxa"/>
          <w:left w:w="0" w:type="dxa"/>
          <w:bottom w:w="28" w:type="dxa"/>
          <w:right w:w="0" w:type="dxa"/>
        </w:tblCellMar>
      </w:tblPr>
      <w:tblGrid>
        <w:gridCol w:w="3410"/>
        <w:gridCol w:w="60"/>
        <w:gridCol w:w="1340"/>
        <w:gridCol w:w="60"/>
        <w:gridCol w:w="3635"/>
        <w:gridCol w:w="75"/>
      </w:tblGrid>
      <w:tr>
        <w:trPr/>
        <w:tc>
          <w:tcPr>
            <w:tcW w:w="3410"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635"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c>
          <w:tcPr>
            <w:tcW w:w="75" w:type="dxa"/>
            <w:tcBorders/>
            <w:tcMar>
              <w:bottom w:w="0" w:type="dxa"/>
            </w:tcMar>
            <w:vAlign w:val="center"/>
          </w:tcPr>
          <w:p>
            <w:pPr>
              <w:pStyle w:val="TableContents"/>
              <w:bidi w:val="0"/>
              <w:spacing w:before="0" w:after="283"/>
              <w:jc w:val="center"/>
              <w:rPr/>
            </w:pPr>
            <w:r>
              <w:rPr/>
              <w:t> </w:t>
            </w:r>
          </w:p>
        </w:tc>
      </w:tr>
      <w:tr>
        <w:trPr/>
        <w:tc>
          <w:tcPr>
            <w:tcW w:w="3410" w:type="dxa"/>
            <w:tcBorders/>
            <w:shd w:fill="CCEEFF" w:val="clear"/>
            <w:tcMar>
              <w:bottom w:w="0" w:type="dxa"/>
            </w:tcMar>
            <w:vAlign w:val="center"/>
          </w:tcPr>
          <w:p>
            <w:pPr>
              <w:pStyle w:val="TableContents"/>
              <w:bidi w:val="0"/>
              <w:spacing w:before="0" w:after="283"/>
              <w:jc w:val="center"/>
              <w:rPr>
                <w:sz w:val="20"/>
              </w:rPr>
            </w:pPr>
            <w:bookmarkStart w:id="18" w:name="xdx_90A_edei--Security12bTitle_c20260731"/>
            <w:bookmarkEnd w:id="18"/>
            <w:r>
              <w:rPr>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sz w:val="20"/>
              </w:rPr>
            </w:pPr>
            <w:bookmarkStart w:id="19" w:name="xdx_904_edei--TradingSymbol_c20260731__2"/>
            <w:bookmarkEnd w:id="19"/>
            <w:r>
              <w:rPr>
                <w:sz w:val="20"/>
              </w:rPr>
              <w:t>RBC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635" w:type="dxa"/>
            <w:tcBorders/>
            <w:shd w:fill="CCEEFF" w:val="clear"/>
            <w:tcMar>
              <w:bottom w:w="0" w:type="dxa"/>
            </w:tcMar>
            <w:vAlign w:val="center"/>
          </w:tcPr>
          <w:p>
            <w:pPr>
              <w:pStyle w:val="TableContents"/>
              <w:bidi w:val="0"/>
              <w:spacing w:before="0" w:after="283"/>
              <w:jc w:val="center"/>
              <w:rPr>
                <w:sz w:val="20"/>
              </w:rPr>
            </w:pPr>
            <w:bookmarkStart w:id="20" w:name="xdx_905_edei--SecurityExchangeName_c2026"/>
            <w:bookmarkEnd w:id="20"/>
            <w:r>
              <w:rPr>
                <w:sz w:val="20"/>
              </w:rPr>
              <w:t>New York Stock Exchange</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504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 Financial Information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RBC Bearings Incorporated (the “Company”) issued a press release announcing its financial results for the quarter ended June 27, 2026, and certain other information.  This press release has been furnished as Exhibit 99.1 to this report and is incorporated herein by this reference.</w:t>
      </w:r>
    </w:p>
    <w:p>
      <w:pPr>
        <w:pStyle w:val="TextBody"/>
        <w:bidi w:val="0"/>
        <w:spacing w:before="0" w:after="0"/>
        <w:ind w:left="0" w:right="0" w:firstLine="440"/>
        <w:jc w:val="left"/>
        <w:rPr>
          <w:caps w:val="false"/>
          <w:smallCaps w:val="false"/>
        </w:rPr>
      </w:pPr>
      <w:r>
        <w:rPr>
          <w:caps w:val="false"/>
          <w:smallCaps w:val="false"/>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including the exhibit hereto, is furnished pursuant to Item 2.02 of Form 8-K, and is not deemed to be “filed” for purposes of Section 18 of the Securities Exchange Act of 1934 or otherwise subject to the liabilities of that section. The information contained herein and in the accompanying exhibit is not incorporated by reference in any filing of the Company under the Securities Act of 1933 or the Securities Exchange Act of 1934, whether made before or after the date hereof and irrespective of any general incorporation language in any filings.</w:t>
      </w:r>
    </w:p>
    <w:p>
      <w:pPr>
        <w:pStyle w:val="TextBody"/>
        <w:bidi w:val="0"/>
        <w:spacing w:before="0" w:after="0"/>
        <w:ind w:left="0" w:right="0" w:firstLine="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455"/>
        <w:gridCol w:w="60"/>
        <w:gridCol w:w="7460"/>
      </w:tblGrid>
      <w:tr>
        <w:trPr/>
        <w:tc>
          <w:tcPr>
            <w:tcW w:w="455" w:type="dxa"/>
            <w:tcBorders/>
            <w:shd w:fill="CCEEFF" w:val="clear"/>
            <w:vAlign w:val="center"/>
          </w:tcPr>
          <w:p>
            <w:pPr>
              <w:pStyle w:val="TableContents"/>
              <w:bidi w:val="0"/>
              <w:spacing w:before="0" w:after="283"/>
              <w:jc w:val="left"/>
              <w:rPr/>
            </w:pPr>
            <w:r>
              <w:rPr/>
              <w:t>99.1</w:t>
            </w:r>
          </w:p>
        </w:tc>
        <w:tc>
          <w:tcPr>
            <w:tcW w:w="60" w:type="dxa"/>
            <w:tcBorders/>
            <w:shd w:fill="CCEEFF" w:val="clear"/>
            <w:vAlign w:val="center"/>
          </w:tcPr>
          <w:p>
            <w:pPr>
              <w:pStyle w:val="TableContents"/>
              <w:bidi w:val="0"/>
              <w:spacing w:before="0" w:after="283"/>
              <w:jc w:val="left"/>
              <w:rPr/>
            </w:pPr>
            <w:r>
              <w:rPr/>
              <w:t> </w:t>
            </w:r>
          </w:p>
        </w:tc>
        <w:tc>
          <w:tcPr>
            <w:tcW w:w="7460" w:type="dxa"/>
            <w:tcBorders/>
            <w:shd w:fill="CCEEFF" w:val="clear"/>
            <w:vAlign w:val="center"/>
          </w:tcPr>
          <w:p>
            <w:pPr>
              <w:pStyle w:val="TableContents"/>
              <w:bidi w:val="0"/>
              <w:spacing w:before="0" w:after="283"/>
              <w:jc w:val="both"/>
              <w:rPr/>
            </w:pPr>
            <w:hyperlink w:anchor="ea029998301ex99-1.htm">
              <w:r>
                <w:rPr>
                  <w:rStyle w:val="InternetLink"/>
                </w:rPr>
                <w:t>Press Release of RBC Bearings Incorporated dated July 31, 2026.</w:t>
              </w:r>
            </w:hyperlink>
          </w:p>
        </w:tc>
      </w:tr>
      <w:tr>
        <w:trPr/>
        <w:tc>
          <w:tcPr>
            <w:tcW w:w="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60" w:type="dxa"/>
            <w:tcBorders/>
            <w:shd w:fill="FFFFFF" w:val="clear"/>
            <w:vAlign w:val="center"/>
          </w:tcPr>
          <w:p>
            <w:pPr>
              <w:pStyle w:val="TableContents"/>
              <w:bidi w:val="0"/>
              <w:spacing w:before="0" w:after="283"/>
              <w:jc w:val="both"/>
              <w:rPr/>
            </w:pPr>
            <w:r>
              <w:rPr/>
              <w:t> </w:t>
            </w:r>
          </w:p>
        </w:tc>
      </w:tr>
      <w:tr>
        <w:trPr/>
        <w:tc>
          <w:tcPr>
            <w:tcW w:w="455"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7460" w:type="dxa"/>
            <w:tcBorders/>
            <w:shd w:fill="CCEEFF" w:val="cle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requirements of the Securities Exchange Act of 1934, the Company has duly caused this report to be signed on its behalf by the undersigned, hereunto duly authorized.</w:t>
      </w:r>
    </w:p>
    <w:p>
      <w:pPr>
        <w:pStyle w:val="TextBody"/>
        <w:bidi w:val="0"/>
        <w:spacing w:before="0" w:after="0"/>
        <w:ind w:left="0" w:right="0" w:firstLine="39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0" w:type="dxa"/>
          <w:right w:w="0" w:type="dxa"/>
        </w:tblCellMar>
      </w:tblPr>
      <w:tblGrid>
        <w:gridCol w:w="75"/>
        <w:gridCol w:w="320"/>
        <w:gridCol w:w="635"/>
        <w:gridCol w:w="3635"/>
      </w:tblGrid>
      <w:tr>
        <w:trPr/>
        <w:tc>
          <w:tcPr>
            <w:tcW w:w="75" w:type="dxa"/>
            <w:tcBorders/>
            <w:vAlign w:val="center"/>
          </w:tcPr>
          <w:p>
            <w:pPr>
              <w:pStyle w:val="TableContents"/>
              <w:bidi w:val="0"/>
              <w:spacing w:before="0" w:after="283"/>
              <w:jc w:val="left"/>
              <w:rPr/>
            </w:pPr>
            <w:r>
              <w:rPr/>
              <w:t> </w:t>
            </w:r>
          </w:p>
        </w:tc>
        <w:tc>
          <w:tcPr>
            <w:tcW w:w="4590" w:type="dxa"/>
            <w:gridSpan w:val="3"/>
            <w:tcBorders/>
            <w:vAlign w:val="center"/>
          </w:tcPr>
          <w:p>
            <w:pPr>
              <w:pStyle w:val="TableContents"/>
              <w:bidi w:val="0"/>
              <w:spacing w:before="0" w:after="283"/>
              <w:jc w:val="left"/>
              <w:rPr>
                <w:b/>
                <w:sz w:val="20"/>
              </w:rPr>
            </w:pPr>
            <w:r>
              <w:rPr>
                <w:b/>
                <w:sz w:val="20"/>
              </w:rPr>
              <w:t>RBC BEARINGS INCORPORATED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70" w:type="dxa"/>
            <w:gridSpan w:val="2"/>
            <w:tcBorders>
              <w:bottom w:val="single" w:sz="12" w:space="0" w:color="000000"/>
            </w:tcBorders>
            <w:tcMar>
              <w:bottom w:w="28" w:type="dxa"/>
            </w:tcMar>
            <w:vAlign w:val="center"/>
          </w:tcPr>
          <w:p>
            <w:pPr>
              <w:pStyle w:val="TableContents"/>
              <w:bidi w:val="0"/>
              <w:spacing w:before="0" w:after="283"/>
              <w:jc w:val="left"/>
              <w:rPr/>
            </w:pPr>
            <w:r>
              <w:rPr/>
              <w:t> </w:t>
            </w:r>
            <w:r>
              <w:rPr>
                <w:sz w:val="20"/>
              </w:rPr>
              <w:t>/s/ John J. Feeney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635" w:type="dxa"/>
            <w:tcBorders/>
            <w:vAlign w:val="center"/>
          </w:tcPr>
          <w:p>
            <w:pPr>
              <w:pStyle w:val="TableContents"/>
              <w:bidi w:val="0"/>
              <w:spacing w:before="0" w:after="283"/>
              <w:jc w:val="left"/>
              <w:rPr>
                <w:sz w:val="20"/>
              </w:rPr>
            </w:pPr>
            <w:r>
              <w:rPr>
                <w:sz w:val="20"/>
              </w:rPr>
              <w:t>John J. Feeney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Title: </w:t>
            </w:r>
          </w:p>
        </w:tc>
        <w:tc>
          <w:tcPr>
            <w:tcW w:w="3635" w:type="dxa"/>
            <w:tcBorders/>
            <w:vAlign w:val="center"/>
          </w:tcPr>
          <w:p>
            <w:pPr>
              <w:pStyle w:val="TableContents"/>
              <w:bidi w:val="0"/>
              <w:spacing w:before="0" w:after="283"/>
              <w:jc w:val="left"/>
              <w:rPr>
                <w:sz w:val="20"/>
              </w:rPr>
            </w:pPr>
            <w:r>
              <w:rPr>
                <w:sz w:val="20"/>
              </w:rPr>
              <w:t>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29998301ex99-1.htm"/>
      <w:bookmarkStart w:id="23" w:name="ksea029998301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 Announces Fiscal First Quarter 2027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CT – July 31, 2026 – RBC Bearings Incorporated (NYSE: RBC), a leading international manufacturer of highly engineered precision bearings, components and essential systems for the industrial, aerospace and defense markets, today reported results for the first quarter fiscal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Quarter 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net sales of $519.5 million increased 19.2% over last year, Aerospace &amp; Defense up 36.9% and Industrial up 8.4%.</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of 47.7% for the first quarter of fiscal 2027 compared to 44.8% last year; Adjusted gross margin of 47.7% compared to 45.4% last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quarter net income as a percentage of net sales of 19.5% vs 15.7% last year; Adjusted EBITDA as a percentage of net sales of 34.9% vs 32.5%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Three Month Financial Highlights</w:t>
      </w:r>
    </w:p>
    <w:p>
      <w:pPr>
        <w:pStyle w:val="TextBody"/>
        <w:bidi w:val="0"/>
        <w:spacing w:before="0" w:after="0"/>
        <w:ind w:left="0" w:right="0" w:hanging="0"/>
        <w:jc w:val="left"/>
        <w:rPr>
          <w:caps w:val="false"/>
          <w:smallCaps w:val="false"/>
        </w:rPr>
      </w:pPr>
      <w:r>
        <w:rPr>
          <w:caps w:val="false"/>
          <w:smallCaps w:val="false"/>
        </w:rPr>
        <w:t> </w:t>
      </w:r>
    </w:p>
    <w:tbl>
      <w:tblPr>
        <w:tblW w:w="9359" w:type="dxa"/>
        <w:jc w:val="left"/>
        <w:tblInd w:w="0" w:type="dxa"/>
        <w:tblLayout w:type="fixed"/>
        <w:tblCellMar>
          <w:top w:w="0" w:type="dxa"/>
          <w:left w:w="0" w:type="dxa"/>
          <w:bottom w:w="0" w:type="dxa"/>
          <w:right w:w="0" w:type="dxa"/>
        </w:tblCellMar>
      </w:tblPr>
      <w:tblGrid>
        <w:gridCol w:w="1985"/>
        <w:gridCol w:w="60"/>
        <w:gridCol w:w="140"/>
        <w:gridCol w:w="560"/>
        <w:gridCol w:w="215"/>
        <w:gridCol w:w="60"/>
        <w:gridCol w:w="241"/>
        <w:gridCol w:w="964"/>
        <w:gridCol w:w="215"/>
        <w:gridCol w:w="60"/>
        <w:gridCol w:w="140"/>
        <w:gridCol w:w="560"/>
        <w:gridCol w:w="215"/>
        <w:gridCol w:w="60"/>
        <w:gridCol w:w="241"/>
        <w:gridCol w:w="964"/>
        <w:gridCol w:w="215"/>
        <w:gridCol w:w="60"/>
        <w:gridCol w:w="83"/>
        <w:gridCol w:w="612"/>
        <w:gridCol w:w="215"/>
        <w:gridCol w:w="60"/>
        <w:gridCol w:w="143"/>
        <w:gridCol w:w="1061"/>
        <w:gridCol w:w="23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Fiscal 2027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Fiscal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1985" w:type="dxa"/>
            <w:tcBorders>
              <w:bottom w:val="single" w:sz="12" w:space="0" w:color="000000"/>
            </w:tcBorders>
            <w:tcMar>
              <w:bottom w:w="28" w:type="dxa"/>
            </w:tcMar>
            <w:vAlign w:val="center"/>
          </w:tcPr>
          <w:p>
            <w:pPr>
              <w:pStyle w:val="TableContents"/>
              <w:bidi w:val="0"/>
              <w:spacing w:before="0" w:after="283"/>
              <w:jc w:val="left"/>
              <w:rPr/>
            </w:pPr>
            <w:r>
              <w:rPr/>
              <w:t>($ in millions)</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GAAP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pPr>
            <w:r>
              <w:rPr/>
              <w:t>Adjusted (1)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pPr>
            <w:r>
              <w:rPr/>
              <w:t>GAAP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pPr>
            <w:r>
              <w:rPr/>
              <w:t>Adjusted (1)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pPr>
            <w:r>
              <w:rPr/>
              <w:t>GAAP</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pPr>
            <w:r>
              <w:rPr/>
              <w:t>Adjusted (1)</w:t>
            </w:r>
          </w:p>
        </w:tc>
        <w:tc>
          <w:tcPr>
            <w:tcW w:w="23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519.5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436.0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19.2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Gross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247.8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247.8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195.2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198.1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26.9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25.1</w:t>
            </w:r>
          </w:p>
        </w:tc>
        <w:tc>
          <w:tcPr>
            <w:tcW w:w="230" w:type="dxa"/>
            <w:tcBorders/>
            <w:shd w:fill="FFFFFF" w:val="clear"/>
            <w:vAlign w:val="center"/>
          </w:tcPr>
          <w:p>
            <w:pPr>
              <w:pStyle w:val="TableContents"/>
              <w:bidi w:val="0"/>
              <w:spacing w:before="0" w:after="283"/>
              <w:jc w:val="left"/>
              <w:rPr/>
            </w:pPr>
            <w:r>
              <w:rPr/>
              <w:t>%</w:t>
            </w:r>
          </w:p>
        </w:tc>
      </w:tr>
      <w:tr>
        <w:trPr/>
        <w:tc>
          <w:tcPr>
            <w:tcW w:w="1985" w:type="dxa"/>
            <w:tcBorders/>
            <w:shd w:fill="CCEEFF" w:val="clear"/>
            <w:vAlign w:val="center"/>
          </w:tcPr>
          <w:p>
            <w:pPr>
              <w:pStyle w:val="TableContents"/>
              <w:bidi w:val="0"/>
              <w:spacing w:before="0" w:after="283"/>
              <w:jc w:val="left"/>
              <w:rPr/>
            </w:pPr>
            <w:r>
              <w:rPr/>
              <w:t>Gross margin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47.7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45.4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140.8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141.2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101.1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105.3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39.3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34.1</w:t>
            </w:r>
          </w:p>
        </w:tc>
        <w:tc>
          <w:tcPr>
            <w:tcW w:w="230" w:type="dxa"/>
            <w:tcBorders/>
            <w:shd w:fill="FFFFFF" w:val="clear"/>
            <w:vAlign w:val="center"/>
          </w:tcPr>
          <w:p>
            <w:pPr>
              <w:pStyle w:val="TableContents"/>
              <w:bidi w:val="0"/>
              <w:spacing w:before="0" w:after="283"/>
              <w:jc w:val="left"/>
              <w:rPr/>
            </w:pPr>
            <w:r>
              <w:rPr/>
              <w:t>%</w:t>
            </w:r>
          </w:p>
        </w:tc>
      </w:tr>
      <w:tr>
        <w:trPr/>
        <w:tc>
          <w:tcPr>
            <w:tcW w:w="1985" w:type="dxa"/>
            <w:tcBorders/>
            <w:shd w:fill="CCEEFF" w:val="clear"/>
            <w:vAlign w:val="center"/>
          </w:tcPr>
          <w:p>
            <w:pPr>
              <w:pStyle w:val="TableContents"/>
              <w:bidi w:val="0"/>
              <w:spacing w:before="0" w:after="283"/>
              <w:jc w:val="left"/>
              <w:rPr/>
            </w:pPr>
            <w:r>
              <w:rPr/>
              <w:t>Operating income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27.2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964" w:type="dxa"/>
            <w:tcBorders/>
            <w:shd w:fill="CCEEFF" w:val="clear"/>
            <w:vAlign w:val="center"/>
          </w:tcPr>
          <w:p>
            <w:pPr>
              <w:pStyle w:val="TableContents"/>
              <w:bidi w:val="0"/>
              <w:spacing w:before="0" w:after="283"/>
              <w:jc w:val="right"/>
              <w:rPr/>
            </w:pPr>
            <w:r>
              <w:rPr/>
              <w:t>24.2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101.5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123.0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68.5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w:t>
            </w:r>
          </w:p>
        </w:tc>
        <w:tc>
          <w:tcPr>
            <w:tcW w:w="964" w:type="dxa"/>
            <w:tcBorders/>
            <w:shd w:fill="FFFFFF" w:val="clear"/>
            <w:vAlign w:val="center"/>
          </w:tcPr>
          <w:p>
            <w:pPr>
              <w:pStyle w:val="TableContents"/>
              <w:bidi w:val="0"/>
              <w:spacing w:before="0" w:after="283"/>
              <w:jc w:val="right"/>
              <w:rPr/>
            </w:pPr>
            <w:r>
              <w:rPr/>
              <w:t>89.6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pPr>
            <w:r>
              <w:rPr/>
              <w:t>48.2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37.3</w:t>
            </w:r>
          </w:p>
        </w:tc>
        <w:tc>
          <w:tcPr>
            <w:tcW w:w="230" w:type="dxa"/>
            <w:tcBorders/>
            <w:shd w:fill="FFFFFF" w:val="clear"/>
            <w:vAlign w:val="center"/>
          </w:tcPr>
          <w:p>
            <w:pPr>
              <w:pStyle w:val="TableContents"/>
              <w:bidi w:val="0"/>
              <w:spacing w:before="0" w:after="283"/>
              <w:jc w:val="left"/>
              <w:rPr/>
            </w:pPr>
            <w:r>
              <w:rPr/>
              <w:t>%</w:t>
            </w:r>
          </w:p>
        </w:tc>
      </w:tr>
      <w:tr>
        <w:trPr/>
        <w:tc>
          <w:tcPr>
            <w:tcW w:w="1985" w:type="dxa"/>
            <w:tcBorders/>
            <w:shd w:fill="CCEEFF" w:val="clear"/>
            <w:vAlign w:val="center"/>
          </w:tcPr>
          <w:p>
            <w:pPr>
              <w:pStyle w:val="TableContents"/>
              <w:bidi w:val="0"/>
              <w:spacing w:before="0" w:after="283"/>
              <w:jc w:val="left"/>
              <w:rPr/>
            </w:pPr>
            <w:r>
              <w:rPr/>
              <w:t>Diluted EPS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3.88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964" w:type="dxa"/>
            <w:tcBorders/>
            <w:shd w:fill="CCEEFF" w:val="clear"/>
            <w:vAlign w:val="center"/>
          </w:tcPr>
          <w:p>
            <w:pPr>
              <w:pStyle w:val="TableContents"/>
              <w:bidi w:val="0"/>
              <w:spacing w:before="0" w:after="283"/>
              <w:jc w:val="right"/>
              <w:rPr/>
            </w:pPr>
            <w:r>
              <w:rPr/>
              <w:t>2.84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47.5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36.6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4683" w:type="dxa"/>
        <w:jc w:val="left"/>
        <w:tblInd w:w="0" w:type="dxa"/>
        <w:tblLayout w:type="fixed"/>
        <w:tblCellMar>
          <w:top w:w="0" w:type="dxa"/>
          <w:left w:w="0" w:type="dxa"/>
          <w:bottom w:w="0" w:type="dxa"/>
          <w:right w:w="0" w:type="dxa"/>
        </w:tblCellMar>
      </w:tblPr>
      <w:tblGrid>
        <w:gridCol w:w="38"/>
        <w:gridCol w:w="29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4355" w:type="dxa"/>
            <w:tcBorders/>
            <w:vAlign w:val="center"/>
          </w:tcPr>
          <w:p>
            <w:pPr>
              <w:pStyle w:val="TableContents"/>
              <w:bidi w:val="0"/>
              <w:spacing w:before="0" w:after="283"/>
              <w:jc w:val="both"/>
              <w:rPr/>
            </w:pPr>
            <w:r>
              <w:rPr/>
              <w:t>Results exclude items in reconciliation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J. Hartnett, Chairman and Chief Executive Officer, stated, “Sales in our first quarter expanded by 19% as margins, cash flow and backlog achieved record levels. Today we are operating extremely well in a robust commercial environment where the vast majority of our end markets are expanding. I am proud of our many teams and their dedication to maintain the high levels of service expected of RBC in these demanding markets. Clearly, we are excited and confident in the positive outlook for the balance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Quarter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first quarter of fiscal 2027 were $519.5 million, an increase of 19.2% from $436.0 million in the first quarter of fiscal 2026. $34.4 of net sales this quarter came from VACCO, which we acquired on July 18, 2025. Net sales for the Industrial segment increased 8.4%, while net sales for the Aerospace &amp; Defense segment increased 36.9%. Gross margin for the first quarter of fiscal 2027 was $247.8 million compared to $195.2 million for the same period last year. On an adjusted basis, gross margin was $247.8 million for the first quarter of fiscal 2027 compared to $198.1 million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first quarter of fiscal 2027 was $85.8 million, an increase of $11.9 million from $73.9 million for the same period last year. As a percentage of net sales, SG&amp;A was 16.5% for the first quarter of fiscal 2027 compared to 16.9% for the same period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for the first quarter of fiscal 2027 totaled $21.2 million compared to $20.2 million for the same period last year. For the first quarter of fiscal 2027, other operating expenses included $21.0 million of amortization of intangible assets and $0.4 of restructuring costs offset by $0.2 million of other items. For the first quarter of fiscal 2026, other operating expenses included $17.9 million of amortization of intangible assets, $1.2 million of restructuring costs, $0.1 of acquisition costs and $1.0 million of other expense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first quarter of fiscal 2027 was $140.8 million compared to $101.1 million for the same period last year. On an adjusted basis, operating income was $141.2 million for the first quarter of fiscal 2027 compared to $105.3 million for the same period last year. Refer to the tables below for details on the adjustments made to operating income to derive adjusted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net, was $10.1 million for the first quarter of fiscal 2027 compared to $12.2 million for the same period last year. The decrease in interest expense between the periods was primarily due to continued debt reduction efforts.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non-operating expense was $0.5 million for the first quarter of fiscal 2027 compared to $1.2 million for the same period last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first quarter of fiscal 2027 was $28.7 compared to $19.2 for the same period last year. The effective income tax rate for the first quarter of fiscal 2027 was 22.1% compared to 21.9% for the same period last year. The effective income tax rate for the first quarter of fiscal 2027 of 22.1% included $1.4 of discrete tax benefits associated with stock-based compensation and $0.1 of other items. The effective income tax rate without discrete items for the first quarter of fiscal 2027 would have been 23.2%. The effective income tax rate for the first quarter of fiscal 2026 of 21.9% included $2.3 of discrete tax benefits associated with stock-based compensation partially offset by $1.3 of other items. The effective income tax rate without discrete items for the first quarter of fiscal 2026 would have been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income for the first quarter of fiscal 2027 was $101.5 million compared to $68.5 million for the same period last year. On an adjusted basis, net income was $123.0 million for the first quarter of fiscal 2027 compared to $89.6 million for the same period last year. Refer to the tables below for details on the adjustments made to net income to derive adjusted net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 for the first quarter of fiscal 2027 was $3.20 compared to $2.17 for the same period last year. On an adjusted basis, diluted EPS was $3.88 for the first quarter of fiscal 2027 compared to $2.84 for the same period last year. Refer to the tables below for details on the adjustments made to EPS to derive the adjusted numbers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as of June 27, 2026, was $2.3 billion compared to $2.3 billion as of March 28, 2026 and $1.0 billion as of June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Outlook for the Second Quarter Fiscal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net sales to be approximately $505.0 million to $515.0 million in the second quarter of fiscal 2027, compared to $455.3 million in the prior year, for a growth rate of 10.9% to 13.1%. Gross margin is expected to be in the range of 45.5% to 45.75% and SG&amp;A as a percentage of net sales is expected to be in the range of 16.5% to 16.75%.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Live Webcast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Bearings Incorporated will host a webcast on Friday, July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2026, at 11:00 a.m. ET to discuss the quarterly results. To access the webcast, go to the investor relations portion of the Company’s website, investor.rbcbearings.com, and click on the webcast link. If you do not have access to the Internet and wish to listen to the call, dial 877-407-4019 (international callers dial +1 201-689-8337) and provide conference ID # 13761571. Investors are advised to dial into the call at least ten minutes prior to the call to register. An audio replay of the call will be available from 2:00 p.m. ET on the day of the call and will remain available for two weeks following the call. The replay can be accessed by dialing 877-660-6853 (international callers dial +1 201-612-7415) and providing conference ID # 13761571.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results of operations that are determined in accordance with U.S. generally accepted accounting principles (GAAP), this press release also discloses non-GAAP results of operations that exclude certain items. These non-GAAP measures adjust for items that management believes are unusual, as well as other non-cash items including but not limited to depreciation, amortization, and equity-based incentive compensation. Management believes that the presentation of these non-GAAP measures provides useful information to investors regarding the Company’s results of operations as these non-GAAP measures allow investors to better evaluate ongoing business performance. Investors should consider non-GAAP measures in addition to, not as a substitute for, financial measures prepared in accordance with GAAP. A reconciliation of the non-GAAP measures disclosed in this press release with the most comparable GAAP measures are included in the financial table attached to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conversion measures our ability to convert operating profits into free cash flow and is calculated as free cash flow (cash provided by operating activities less capital expenditures) divided by 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Gross Margin and Adjusted 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margin excludes the impact of restructuring costs associated with the closing of a plant, acquisition related fair value adjustments to inventory or significant adjustments to existing manufacturing processes or product lines. Adjusted operating income excludes acquisition expenses (including the impact of acquisition-related fair value adjustments in connection with purchase), restructuring and other similar charges, and other non-operational, non-cash or non-recurring losses or gains. We believe that adjusted operating income is useful in assessing our financial performance by excluding items that are not indicative of our core operating performance or that may obscure trends useful in evaluating our continuing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Net Income Attributable to Common Stockholders and Adjusted Earnings Per Share Attributable to Common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 attributable to common stockholders and adjusted earnings per share attributable to common stockholders (calculated on a diluted basis) exclude non-cash expenses for amortization related to acquired intangible assets other than internal-use software, stock-based compensation, amortization of deferred finance fees, acquisition expenses (including the impact of acquisition-related fair value adjustments in connection with purchase), restructuring and other similar charges, significant adjustments to existing manufacturing processes or product lines, gains or losses on divestitures, discontinued operations, gains or losses on extinguishment of debt, and other non-operational, non-cash or non-recurring losses or gains, net of their income tax impact and other tax matters, which may include certain discrete items and reserve-related items. We believe that adjusted net income and adjusted earnings per share are useful in assessing our financial performance by excluding items that are not indicative of our core operating performance or that may obscure trends useful in evaluating our continuing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term “Adjusted EBITDA” to describe net income adjusted for the items summarized in the “Reconciliation of GAAP to Non-GAAP Financial Measures” table below. Adjusted EBITDA is intended to show our unleveraged, pre-tax operating results and therefore reflects our financial performance based on operational factors, excluding non-operational, non-cash or non-recurring losses or gains. In view of our debt level, Adjusted EBITDA aids our investors in understanding our compliance with our debt covenants. Management and various investors use the ratio of total debt less cash to Adjusted EBITDA, or “net debt leverage,” as a measure of our financial strength and ability to incur incremental indebtedness when making investment decisions and evaluating us against peers. Lastly, management and various investors use the ratio of the change in Adjusted EBITDA divided by the change in net sales (referred to as “incremental margin” in the case of an increase in net sales or “decremental margin” in the case of a decrease in net sales) as an additional measure of our financial performance and some investors utilize it when making investment decisions and evaluating us against peers.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presentation made in accordance with GAAP, and our definition of Adjusted EBITDA may vary from the definition used by others in our industry. Adjusted EBITDA should not be considered as an alternative to net income, income from operations, or any other performance measures derived in accordance with GAAP. Adjusted EBITDA has important limitations as an analytical tool, and you should not consider it in isolation, or as a substitute for analysis of our results as reported under GAAP. For example, Adjusted EBITDA does not reflect (a) our capital expenditures, future requirements for capital expenditures or contractual commitments; (b) changes in, or cash requirements for, our working capital needs; (c) the significant interest expenses, or the cash requirements necessary to service interest or principal payments, on our debt; (d) tax payments that represent a reduction in cash available to us; (e) any cash requirements for the assets being depreciated and amortized that may have to be replaced in the future; or (f) the impact of earnings or charges resulting from matters that we and the lenders under our credit agreement may not consider indicative of our ongoing operations. In particular, our definition of Adjusted EBITDA adds back certain non-cash, non-operating or non-recurring charges that are deducted in calculating net income, even though these are expenses that may recur or vary greatly, are difficult to predict, and can represent the effect of long-term strategies as opposed to short-term results. In addition, certain of these expenses can represent the reduction of cash that could be used for other corporate purposes. Further, although not included in the calculation of Adjusted EBITDA below, the measure may at times (i) include estimated cost savings and operating synergies related to operational changes ranging from acquisitions to dispositions to restructurings and/or (ii) exclude one-time transition expenditures that we anticipate we will need to incur to realize cost savings before such savings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RBC Bearings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Bearings Incorporated is an international manufacturer and marketer of highly engineered precision bearings, components and essential systems. Founded in 1919, the Company is primarily focused on producing highly technical or regulated bearing products and components requiring sophisticated design, testing, and manufacturing capabilities for the diversified industrial, aerospace and defense markets. The Company is headquartered in Oxford, Connecticut.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for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contain “forward-looking statements.” All statements other than statements of historical fact are “forward-looking statements” for purposes of federal and state securities laws, including the following: the section of this press release entitled “Outlook”; any projections of earnings, revenue or other financial items relating to the Company, any statement of the plans, strategies and objectives of management for future operations; any statements concerning proposed future growth rates in the markets we serve; any statements of belief; any characterization of and the Company’s ability to control contingent liabilities; anticipated trends in the Company’s businesses; and any statements of assumptions underlying any of the foregoing. Forward-looking statements may include the words “may,” “would,” “estimate,” “intend,” “continue,” “believe,” “expect,” “anticipate,” and other similar words. Although the Company believes that the expectations reflected in any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beyond the control of the Company. These risks and uncertainties include, but are not limited to, risks and uncertainties relating to general economic conditions, geopolitical factors including import/export tariffs, future levels of aerospace &amp; defense and industrial market activity, future financial performance, our use of information technology systems, our disclosure controls and procedures and internal control over financial reporting, our debt level, our level of goodwill, market acceptance of new or enhanced versions of the Company’s products, the pricing of raw materials, changes in the competitive environments in which the Company’s businesses operate, increases in interest rates, the Company’s ability to acquire and integrate complementary businesses, and risks and uncertainties listed or disclosed in our reports filed with the Securities and Exchange Commission, including, without limitation, the risks identified under the heading “Risk Factors” set forth in the Company’s most recent Annual Report on Form 10-K filed with the SEC. The Company does not intend, and undertakes no obligation, to update or alter any forward-looking statements.</w:t>
      </w:r>
    </w:p>
    <w:p>
      <w:pPr>
        <w:pStyle w:val="TextBody"/>
        <w:bidi w:val="0"/>
        <w:spacing w:before="0" w:after="0"/>
        <w:ind w:left="0"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740"/>
        <w:gridCol w:w="2660"/>
      </w:tblGrid>
      <w:tr>
        <w:trPr/>
        <w:tc>
          <w:tcPr>
            <w:tcW w:w="7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Contact: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Mike Cummings or Josh Carroll</w:t>
            </w:r>
          </w:p>
        </w:tc>
      </w:tr>
      <w:tr>
        <w:trPr/>
        <w:tc>
          <w:tcPr>
            <w:tcW w:w="7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both"/>
              <w:rPr/>
            </w:pPr>
            <w:r>
              <w:rPr/>
              <w:t>investors@rbcbearings.com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br/>
        <w:t>(amounts in millions, except share and per share data)</w:t>
        <w:br/>
        <w:t>(Unaudited)</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3335"/>
        <w:gridCol w:w="60"/>
        <w:gridCol w:w="140"/>
        <w:gridCol w:w="1100"/>
        <w:gridCol w:w="60"/>
        <w:gridCol w:w="60"/>
        <w:gridCol w:w="140"/>
        <w:gridCol w:w="1100"/>
        <w:gridCol w:w="75"/>
      </w:tblGrid>
      <w:tr>
        <w:trPr/>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28,</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436.0</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240.8</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195.2</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73.9</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Other,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20.2</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94.1</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101.1</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12.2</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Other non-operating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87.7</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19.2</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68.5</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Net income per common share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2.18</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2.17</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Weighted average common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31,559,554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31,374,859</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31,714,686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31,553,214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Data:</w:t>
      </w:r>
    </w:p>
    <w:p>
      <w:pPr>
        <w:pStyle w:val="TextBody"/>
        <w:bidi w:val="0"/>
        <w:spacing w:before="0" w:after="0"/>
        <w:ind w:left="0" w:right="0" w:hanging="0"/>
        <w:jc w:val="left"/>
        <w:rPr>
          <w:caps w:val="false"/>
          <w:smallCaps w:val="false"/>
        </w:rPr>
      </w:pPr>
      <w:r>
        <w:rPr>
          <w:caps w:val="false"/>
          <w:smallCaps w:val="false"/>
        </w:rPr>
        <w:t>  </w:t>
      </w:r>
    </w:p>
    <w:tbl>
      <w:tblPr>
        <w:tblW w:w="5408" w:type="dxa"/>
        <w:jc w:val="left"/>
        <w:tblInd w:w="0" w:type="dxa"/>
        <w:tblLayout w:type="fixed"/>
        <w:tblCellMar>
          <w:top w:w="0" w:type="dxa"/>
          <w:left w:w="0" w:type="dxa"/>
          <w:bottom w:w="0" w:type="dxa"/>
          <w:right w:w="0" w:type="dxa"/>
        </w:tblCellMar>
      </w:tblPr>
      <w:tblGrid>
        <w:gridCol w:w="3065"/>
        <w:gridCol w:w="60"/>
        <w:gridCol w:w="203"/>
        <w:gridCol w:w="814"/>
        <w:gridCol w:w="87"/>
        <w:gridCol w:w="87"/>
        <w:gridCol w:w="203"/>
        <w:gridCol w:w="814"/>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center"/>
              <w:rPr>
                <w:b/>
              </w:rPr>
            </w:pPr>
            <w:r>
              <w:rPr>
                <w:b/>
              </w:rPr>
              <w:t>June 27,</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center"/>
              <w:rPr>
                <w:b/>
              </w:rPr>
            </w:pPr>
            <w:r>
              <w:rPr>
                <w:b/>
              </w:rPr>
              <w:t>June 28,</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b/>
              </w:rPr>
            </w:pPr>
            <w:r>
              <w:rPr>
                <w:b/>
              </w:rPr>
              <w:t>Net External Sales:</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Aerospace and defense segment</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225.4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164.6</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Industrial segment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294.1</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271.4</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b/>
              </w:rPr>
            </w:pPr>
            <w:r>
              <w:rPr>
                <w:b/>
              </w:rPr>
              <w:t>Total net external sales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519.5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1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9353" w:type="dxa"/>
        <w:jc w:val="left"/>
        <w:tblInd w:w="0" w:type="dxa"/>
        <w:tblLayout w:type="fixed"/>
        <w:tblCellMar>
          <w:top w:w="0" w:type="dxa"/>
          <w:left w:w="0" w:type="dxa"/>
          <w:bottom w:w="0" w:type="dxa"/>
          <w:right w:w="0" w:type="dxa"/>
        </w:tblCellMar>
      </w:tblPr>
      <w:tblGrid>
        <w:gridCol w:w="7010"/>
        <w:gridCol w:w="60"/>
        <w:gridCol w:w="203"/>
        <w:gridCol w:w="814"/>
        <w:gridCol w:w="87"/>
        <w:gridCol w:w="87"/>
        <w:gridCol w:w="203"/>
        <w:gridCol w:w="814"/>
        <w:gridCol w:w="75"/>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b/>
              </w:rPr>
            </w:pPr>
            <w:r>
              <w:rPr>
                <w:b/>
              </w:rPr>
              <w:t>Reconciliation of Reported Gross Margin to Adjusted Gross Margin:</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Reported gross margin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247.8</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195.2</w:t>
            </w:r>
          </w:p>
        </w:tc>
        <w:tc>
          <w:tcPr>
            <w:tcW w:w="75"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Restructuring and consolidation</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2.9</w:t>
            </w:r>
          </w:p>
        </w:tc>
        <w:tc>
          <w:tcPr>
            <w:tcW w:w="75"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b/>
              </w:rPr>
            </w:pPr>
            <w:r>
              <w:rPr>
                <w:b/>
              </w:rPr>
              <w:t>Adjusted gross margin</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247.8</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9"/>
        <w:gridCol w:w="60"/>
        <w:gridCol w:w="202"/>
        <w:gridCol w:w="811"/>
        <w:gridCol w:w="86"/>
        <w:gridCol w:w="86"/>
        <w:gridCol w:w="202"/>
        <w:gridCol w:w="811"/>
        <w:gridCol w:w="78"/>
      </w:tblGrid>
      <w:tr>
        <w:trPr/>
        <w:tc>
          <w:tcPr>
            <w:tcW w:w="78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8" w:type="dxa"/>
            <w:tcBorders/>
            <w:vAlign w:val="center"/>
          </w:tcPr>
          <w:p>
            <w:pPr>
              <w:pStyle w:val="TableContents"/>
              <w:bidi w:val="0"/>
              <w:spacing w:before="0" w:after="283"/>
              <w:jc w:val="left"/>
              <w:rPr/>
            </w:pPr>
            <w:r>
              <w:rPr/>
              <w:t> </w:t>
            </w:r>
          </w:p>
        </w:tc>
      </w:tr>
      <w:tr>
        <w:trPr/>
        <w:tc>
          <w:tcPr>
            <w:tcW w:w="7869" w:type="dxa"/>
            <w:tcBorders/>
            <w:vAlign w:val="center"/>
          </w:tcPr>
          <w:p>
            <w:pPr>
              <w:pStyle w:val="TableContents"/>
              <w:bidi w:val="0"/>
              <w:spacing w:before="0" w:after="283"/>
              <w:jc w:val="left"/>
              <w:rPr>
                <w:b/>
              </w:rPr>
            </w:pPr>
            <w:r>
              <w:rPr>
                <w:b/>
              </w:rPr>
              <w:t>Reconciliation of Reported Operating Income to  Adjusted Operating Income:</w:t>
            </w:r>
          </w:p>
        </w:tc>
        <w:tc>
          <w:tcPr>
            <w:tcW w:w="60" w:type="dxa"/>
            <w:tcBorders/>
            <w:vAlign w:val="center"/>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8" w:type="dxa"/>
            <w:tcBorders/>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283"/>
              <w:jc w:val="left"/>
              <w:rPr/>
            </w:pPr>
            <w:r>
              <w:rPr/>
              <w:t>Reported operating income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140.8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811" w:type="dxa"/>
            <w:tcBorders/>
            <w:shd w:fill="CCEEFF" w:val="clear"/>
            <w:vAlign w:val="center"/>
          </w:tcPr>
          <w:p>
            <w:pPr>
              <w:pStyle w:val="TableContents"/>
              <w:bidi w:val="0"/>
              <w:spacing w:before="0" w:after="283"/>
              <w:jc w:val="right"/>
              <w:rPr/>
            </w:pPr>
            <w:r>
              <w:rPr/>
              <w:t>101.1</w:t>
            </w:r>
          </w:p>
        </w:tc>
        <w:tc>
          <w:tcPr>
            <w:tcW w:w="78"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283"/>
              <w:jc w:val="left"/>
              <w:rPr/>
            </w:pPr>
            <w:r>
              <w:rPr/>
              <w:t>Transaction and related costs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0.1</w:t>
            </w:r>
          </w:p>
        </w:tc>
        <w:tc>
          <w:tcPr>
            <w:tcW w:w="78" w:type="dxa"/>
            <w:tcBorders/>
            <w:shd w:fill="FFFFFF" w:val="clear"/>
            <w:vAlign w:val="center"/>
          </w:tcPr>
          <w:p>
            <w:pPr>
              <w:pStyle w:val="TableContents"/>
              <w:bidi w:val="0"/>
              <w:spacing w:before="0" w:after="283"/>
              <w:jc w:val="left"/>
              <w:rPr/>
            </w:pPr>
            <w:r>
              <w:rPr/>
              <w:t> </w:t>
            </w:r>
          </w:p>
        </w:tc>
      </w:tr>
      <w:tr>
        <w:trPr/>
        <w:tc>
          <w:tcPr>
            <w:tcW w:w="7869" w:type="dxa"/>
            <w:tcBorders/>
            <w:shd w:fill="CCEEFF" w:val="clear"/>
            <w:vAlign w:val="center"/>
          </w:tcPr>
          <w:p>
            <w:pPr>
              <w:pStyle w:val="TableContents"/>
              <w:bidi w:val="0"/>
              <w:spacing w:before="0" w:after="283"/>
              <w:jc w:val="left"/>
              <w:rPr/>
            </w:pPr>
            <w:r>
              <w:rPr/>
              <w:t>Restructuring and consolidation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pPr>
            <w:r>
              <w:rPr/>
              <w:t>0.4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78" w:type="dxa"/>
            <w:tcBorders/>
            <w:shd w:fill="CCEEFF" w:val="clear"/>
            <w:vAlign w:val="center"/>
          </w:tcPr>
          <w:p>
            <w:pPr>
              <w:pStyle w:val="TableContents"/>
              <w:bidi w:val="0"/>
              <w:spacing w:before="0" w:after="283"/>
              <w:jc w:val="left"/>
              <w:rPr/>
            </w:pPr>
            <w:r>
              <w:rPr/>
              <w:t> </w:t>
            </w:r>
          </w:p>
        </w:tc>
      </w:tr>
      <w:tr>
        <w:trPr/>
        <w:tc>
          <w:tcPr>
            <w:tcW w:w="7869" w:type="dxa"/>
            <w:tcBorders/>
            <w:shd w:fill="FFFFFF" w:val="clear"/>
            <w:vAlign w:val="center"/>
          </w:tcPr>
          <w:p>
            <w:pPr>
              <w:pStyle w:val="TableContents"/>
              <w:bidi w:val="0"/>
              <w:spacing w:before="0" w:after="283"/>
              <w:jc w:val="left"/>
              <w:rPr>
                <w:b/>
              </w:rPr>
            </w:pPr>
            <w:r>
              <w:rPr>
                <w:b/>
              </w:rPr>
              <w:t>Adjusted operating income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141.2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11"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105.3</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95" w:type="dxa"/>
        <w:jc w:val="left"/>
        <w:tblInd w:w="0" w:type="dxa"/>
        <w:tblLayout w:type="fixed"/>
        <w:tblCellMar>
          <w:top w:w="0" w:type="dxa"/>
          <w:left w:w="0" w:type="dxa"/>
          <w:bottom w:w="0" w:type="dxa"/>
          <w:right w:w="0" w:type="dxa"/>
        </w:tblCellMar>
      </w:tblPr>
      <w:tblGrid>
        <w:gridCol w:w="6590"/>
        <w:gridCol w:w="60"/>
        <w:gridCol w:w="140"/>
        <w:gridCol w:w="1100"/>
        <w:gridCol w:w="95"/>
        <w:gridCol w:w="60"/>
        <w:gridCol w:w="140"/>
        <w:gridCol w:w="1100"/>
        <w:gridCol w:w="110"/>
      </w:tblGrid>
      <w:tr>
        <w:trPr/>
        <w:tc>
          <w:tcPr>
            <w:tcW w:w="6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6590" w:type="dxa"/>
            <w:tcBorders/>
            <w:vAlign w:val="center"/>
          </w:tcPr>
          <w:p>
            <w:pPr>
              <w:pStyle w:val="TableContents"/>
              <w:bidi w:val="0"/>
              <w:spacing w:before="0" w:after="283"/>
              <w:jc w:val="left"/>
              <w:rPr>
                <w:b/>
              </w:rPr>
            </w:pPr>
            <w:r>
              <w:rPr>
                <w:b/>
              </w:rPr>
              <w:t>Reconciliation of Reported Net Income to Adjusted Net  Income:</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Reported 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68.5</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Transaction and related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Restructuring and consolidation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M&amp;A related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Amortization of deferred finance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0.8</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Tax impact of adjustments and other tax matters*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(6.7</w:t>
            </w:r>
          </w:p>
        </w:tc>
        <w:tc>
          <w:tcPr>
            <w:tcW w:w="110" w:type="dxa"/>
            <w:tcBorders/>
            <w:shd w:fill="CCEEFF" w:val="clear"/>
            <w:vAlign w:val="center"/>
          </w:tcPr>
          <w:p>
            <w:pPr>
              <w:pStyle w:val="TableContents"/>
              <w:bidi w:val="0"/>
              <w:spacing w:before="0" w:after="283"/>
              <w:jc w:val="left"/>
              <w:rPr/>
            </w:pPr>
            <w:r>
              <w:rPr/>
              <w:t>)</w:t>
            </w:r>
          </w:p>
        </w:tc>
      </w:tr>
      <w:tr>
        <w:trPr/>
        <w:tc>
          <w:tcPr>
            <w:tcW w:w="6590" w:type="dxa"/>
            <w:tcBorders/>
            <w:shd w:fill="FFFFFF" w:val="clear"/>
            <w:vAlign w:val="center"/>
          </w:tcPr>
          <w:p>
            <w:pPr>
              <w:pStyle w:val="TableContents"/>
              <w:bidi w:val="0"/>
              <w:spacing w:before="0" w:after="283"/>
              <w:jc w:val="left"/>
              <w:rPr>
                <w:b/>
              </w:rPr>
            </w:pPr>
            <w:r>
              <w:rPr>
                <w:b/>
              </w:rPr>
              <w:t>Adjusted net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89.6</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Adjusted net income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2.86</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b/>
              </w:rPr>
            </w:pPr>
            <w:r>
              <w:rPr>
                <w:b/>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2.84</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Weighted average common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59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31,559,554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31,374,859</w:t>
            </w:r>
          </w:p>
        </w:tc>
        <w:tc>
          <w:tcPr>
            <w:tcW w:w="110" w:type="dxa"/>
            <w:tcBorders/>
            <w:shd w:fill="CCEEFF" w:val="clear"/>
            <w:vAlign w:val="center"/>
          </w:tcPr>
          <w:p>
            <w:pPr>
              <w:pStyle w:val="TableContents"/>
              <w:bidi w:val="0"/>
              <w:spacing w:before="0" w:after="283"/>
              <w:jc w:val="left"/>
              <w:rPr/>
            </w:pPr>
            <w:r>
              <w:rPr/>
              <w:t> </w:t>
            </w:r>
          </w:p>
        </w:tc>
      </w:tr>
      <w:tr>
        <w:trPr/>
        <w:tc>
          <w:tcPr>
            <w:tcW w:w="659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31,714,686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31,553,214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Overall tax rate applied to adjusted pre-tax earnings was 22.0% and 22.5% for the three-month periods ended June 27, 2026 and June 28,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8648" w:type="dxa"/>
        <w:jc w:val="left"/>
        <w:tblInd w:w="0" w:type="dxa"/>
        <w:tblLayout w:type="fixed"/>
        <w:tblCellMar>
          <w:top w:w="0" w:type="dxa"/>
          <w:left w:w="0" w:type="dxa"/>
          <w:bottom w:w="0" w:type="dxa"/>
          <w:right w:w="0" w:type="dxa"/>
        </w:tblCellMar>
      </w:tblPr>
      <w:tblGrid>
        <w:gridCol w:w="6305"/>
        <w:gridCol w:w="60"/>
        <w:gridCol w:w="203"/>
        <w:gridCol w:w="814"/>
        <w:gridCol w:w="87"/>
        <w:gridCol w:w="87"/>
        <w:gridCol w:w="203"/>
        <w:gridCol w:w="814"/>
        <w:gridCol w:w="75"/>
      </w:tblGrid>
      <w:tr>
        <w:trPr/>
        <w:tc>
          <w:tcPr>
            <w:tcW w:w="6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b/>
              </w:rPr>
            </w:pPr>
            <w:r>
              <w:rPr>
                <w:b/>
              </w:rPr>
              <w:t>Reconciliation of Reported Net Income to Adjusted EBITDA:</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27,</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28,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Reported net income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101.5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814" w:type="dxa"/>
            <w:tcBorders/>
            <w:shd w:fill="CCEEFF" w:val="clear"/>
            <w:vAlign w:val="center"/>
          </w:tcPr>
          <w:p>
            <w:pPr>
              <w:pStyle w:val="TableContents"/>
              <w:bidi w:val="0"/>
              <w:spacing w:before="0" w:after="283"/>
              <w:jc w:val="right"/>
              <w:rPr/>
            </w:pPr>
            <w:r>
              <w:rPr/>
              <w:t>68.5</w:t>
            </w:r>
          </w:p>
        </w:tc>
        <w:tc>
          <w:tcPr>
            <w:tcW w:w="7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10.1</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12.2</w:t>
            </w:r>
          </w:p>
        </w:tc>
        <w:tc>
          <w:tcPr>
            <w:tcW w:w="75"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28.7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19.2</w:t>
            </w:r>
          </w:p>
        </w:tc>
        <w:tc>
          <w:tcPr>
            <w:tcW w:w="7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Stock compensation expense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6.7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6.6</w:t>
            </w:r>
          </w:p>
        </w:tc>
        <w:tc>
          <w:tcPr>
            <w:tcW w:w="75"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29.6</w:t>
            </w:r>
          </w:p>
        </w:tc>
        <w:tc>
          <w:tcPr>
            <w:tcW w:w="7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Other non-operating expense</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0.5</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Transaction and related costs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0.1</w:t>
            </w:r>
          </w:p>
        </w:tc>
        <w:tc>
          <w:tcPr>
            <w:tcW w:w="75"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Restructuring and consolidation</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0.4</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4"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75"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181.2</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718" w:type="dxa"/>
        <w:jc w:val="left"/>
        <w:tblInd w:w="0" w:type="dxa"/>
        <w:tblLayout w:type="fixed"/>
        <w:tblCellMar>
          <w:top w:w="0" w:type="dxa"/>
          <w:left w:w="0" w:type="dxa"/>
          <w:bottom w:w="0" w:type="dxa"/>
          <w:right w:w="0" w:type="dxa"/>
        </w:tblCellMar>
      </w:tblPr>
      <w:tblGrid>
        <w:gridCol w:w="5165"/>
        <w:gridCol w:w="60"/>
        <w:gridCol w:w="183"/>
        <w:gridCol w:w="976"/>
        <w:gridCol w:w="95"/>
        <w:gridCol w:w="60"/>
        <w:gridCol w:w="170"/>
        <w:gridCol w:w="899"/>
        <w:gridCol w:w="11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June 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March 28,</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57.3</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Accounts receivable, net of allowance for credit losses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326.2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340.6</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762.8</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29.1</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1,266.9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1,189.8</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430.0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419.0</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Operating lease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68.7</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2,002.5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2,003.4</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1,358.7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1,378.2</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63.6</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pPr>
            <w:r>
              <w:rPr/>
              <w:t>5,196.1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pPr>
            <w:r>
              <w:rPr/>
              <w:t>5,122.7</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Liabilities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976" w:type="dxa"/>
            <w:tcBorders/>
            <w:shd w:fill="CCEEFF" w:val="clear"/>
            <w:vAlign w:val="center"/>
          </w:tcPr>
          <w:p>
            <w:pPr>
              <w:pStyle w:val="TableContents"/>
              <w:bidi w:val="0"/>
              <w:spacing w:before="0" w:after="283"/>
              <w:jc w:val="right"/>
              <w:rPr/>
            </w:pPr>
            <w:r>
              <w:rPr/>
              <w:t>149.9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147.0</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244.4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214.7</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Current operating lease liabilities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10.7</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173.8</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546.2</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Long-term debt, less current portion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710.0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701.7</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56.2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59.0</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266.0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267.3</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pPr>
            <w:r>
              <w:rPr/>
              <w:t>201.2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1,734.1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1,761.7</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Common stock, $.01 par value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0.3</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1,747.5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1,735.4</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 </w:t>
            </w:r>
          </w:p>
        </w:tc>
      </w:tr>
      <w:tr>
        <w:trPr/>
        <w:tc>
          <w:tcPr>
            <w:tcW w:w="516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1,839.7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1,738.2</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Treasury stock, at cost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CCEEFF" w:val="clear"/>
            <w:tcMar>
              <w:bottom w:w="28" w:type="dxa"/>
            </w:tcM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center"/>
          </w:tcPr>
          <w:p>
            <w:pPr>
              <w:pStyle w:val="TableContents"/>
              <w:bidi w:val="0"/>
              <w:spacing w:before="0" w:after="283"/>
              <w:jc w:val="right"/>
              <w:rPr/>
            </w:pPr>
            <w:r>
              <w:rPr/>
              <w:t>(115.0</w:t>
            </w:r>
          </w:p>
        </w:tc>
        <w:tc>
          <w:tcPr>
            <w:tcW w:w="110" w:type="dxa"/>
            <w:tcBorders/>
            <w:shd w:fill="CCEEFF" w:val="clear"/>
            <w:vAlign w:val="center"/>
          </w:tcPr>
          <w:p>
            <w:pPr>
              <w:pStyle w:val="TableContents"/>
              <w:bidi w:val="0"/>
              <w:spacing w:before="0" w:after="283"/>
              <w:jc w:val="left"/>
              <w:rPr/>
            </w:pPr>
            <w:r>
              <w:rPr/>
              <w:t>)</w:t>
            </w:r>
          </w:p>
        </w:tc>
      </w:tr>
      <w:tr>
        <w:trPr/>
        <w:tc>
          <w:tcPr>
            <w:tcW w:w="5165"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6" w:type="dxa"/>
            <w:tcBorders>
              <w:bottom w:val="single" w:sz="12" w:space="0" w:color="000000"/>
            </w:tcBorders>
            <w:shd w:fill="FFFFFF" w:val="clear"/>
            <w:tcMar>
              <w:bottom w:w="28" w:type="dxa"/>
            </w:tcMar>
            <w:vAlign w:val="center"/>
          </w:tcPr>
          <w:p>
            <w:pPr>
              <w:pStyle w:val="TableContents"/>
              <w:bidi w:val="0"/>
              <w:spacing w:before="0" w:after="283"/>
              <w:jc w:val="right"/>
              <w:rPr/>
            </w:pPr>
            <w:r>
              <w:rPr/>
              <w:t>3,462.0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9" w:type="dxa"/>
            <w:tcBorders>
              <w:bottom w:val="single" w:sz="12" w:space="0" w:color="000000"/>
            </w:tcBorders>
            <w:shd w:fill="FFFFFF" w:val="clear"/>
            <w:tcMar>
              <w:bottom w:w="28" w:type="dxa"/>
            </w:tcMar>
            <w:vAlign w:val="center"/>
          </w:tcPr>
          <w:p>
            <w:pPr>
              <w:pStyle w:val="TableContents"/>
              <w:bidi w:val="0"/>
              <w:spacing w:before="0" w:after="283"/>
              <w:jc w:val="right"/>
              <w:rPr/>
            </w:pPr>
            <w:r>
              <w:rPr/>
              <w:t>3,361.0</w:t>
            </w:r>
          </w:p>
        </w:tc>
        <w:tc>
          <w:tcPr>
            <w:tcW w:w="110" w:type="dxa"/>
            <w:tcBorders/>
            <w:shd w:fill="FFFFFF" w:val="clear"/>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76" w:type="dxa"/>
            <w:tcBorders>
              <w:bottom w:val="double" w:sz="10" w:space="0" w:color="000000"/>
            </w:tcBorders>
            <w:shd w:fill="CCEEFF" w:val="clear"/>
            <w:tcMar>
              <w:bottom w:w="28" w:type="dxa"/>
            </w:tcMar>
            <w:vAlign w:val="center"/>
          </w:tcPr>
          <w:p>
            <w:pPr>
              <w:pStyle w:val="TableContents"/>
              <w:bidi w:val="0"/>
              <w:spacing w:before="0" w:after="283"/>
              <w:jc w:val="right"/>
              <w:rPr/>
            </w:pPr>
            <w:r>
              <w:rPr/>
              <w:t>5,196.1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9" w:type="dxa"/>
            <w:tcBorders>
              <w:bottom w:val="double" w:sz="10" w:space="0" w:color="000000"/>
            </w:tcBorders>
            <w:shd w:fill="CCEEFF" w:val="clear"/>
            <w:tcMar>
              <w:bottom w:w="28" w:type="dxa"/>
            </w:tcMar>
            <w:vAlign w:val="center"/>
          </w:tcPr>
          <w:p>
            <w:pPr>
              <w:pStyle w:val="TableContents"/>
              <w:bidi w:val="0"/>
              <w:spacing w:before="0" w:after="283"/>
              <w:jc w:val="right"/>
              <w:rPr/>
            </w:pPr>
            <w:r>
              <w:rPr/>
              <w:t>5,122.7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0"/>
        <w:gridCol w:w="60"/>
        <w:gridCol w:w="140"/>
        <w:gridCol w:w="1310"/>
        <w:gridCol w:w="215"/>
        <w:gridCol w:w="60"/>
        <w:gridCol w:w="173"/>
        <w:gridCol w:w="695"/>
        <w:gridCol w:w="112"/>
      </w:tblGrid>
      <w:tr>
        <w:trPr/>
        <w:tc>
          <w:tcPr>
            <w:tcW w:w="7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9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2"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center"/>
              <w:rPr>
                <w:b/>
              </w:rPr>
            </w:pPr>
            <w:r>
              <w:rPr>
                <w:b/>
              </w:rPr>
              <w:t>June 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center"/>
              <w:rPr>
                <w:b/>
              </w:rPr>
            </w:pPr>
            <w:r>
              <w:rPr>
                <w:b/>
              </w:rPr>
              <w:t>June 28,</w:t>
            </w:r>
          </w:p>
        </w:tc>
        <w:tc>
          <w:tcPr>
            <w:tcW w:w="112"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44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101.5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68.5</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33.3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29.6</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(4.6</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0.8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0.8</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6.7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6.6</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Noncash operating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1.7</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(Gain)/loss on disposition of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(0.6</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Restructuring and other noncash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3.8</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Changes in operating assets and liabilities, net of acquisitions: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14.2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17.7</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(22.8</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(1.7</w:t>
            </w:r>
          </w:p>
        </w:tc>
        <w:tc>
          <w:tcPr>
            <w:tcW w:w="112" w:type="dxa"/>
            <w:tcBorders/>
            <w:shd w:fill="CCEEFF" w:val="clear"/>
            <w:vAlign w:val="center"/>
          </w:tcPr>
          <w:p>
            <w:pPr>
              <w:pStyle w:val="TableContents"/>
              <w:bidi w:val="0"/>
              <w:spacing w:before="0" w:after="283"/>
              <w:jc w:val="left"/>
              <w:rPr/>
            </w:pPr>
            <w:r>
              <w:rPr/>
              <w:t>)</w:t>
            </w:r>
          </w:p>
        </w:tc>
      </w:tr>
      <w:tr>
        <w:trPr/>
        <w:tc>
          <w:tcPr>
            <w:tcW w:w="744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(9.4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(2.2</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2.9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1.9</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34.0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25.5</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283"/>
              <w:jc w:val="right"/>
              <w:rPr/>
            </w:pPr>
            <w:r>
              <w:rPr/>
              <w:t>12.2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12" w:type="dxa"/>
            <w:tcBorders/>
            <w:shd w:fill="CCEEFF" w:val="clear"/>
            <w:vAlign w:val="center"/>
          </w:tcPr>
          <w:p>
            <w:pPr>
              <w:pStyle w:val="TableContents"/>
              <w:bidi w:val="0"/>
              <w:spacing w:before="0" w:after="283"/>
              <w:jc w:val="left"/>
              <w:rPr/>
            </w:pPr>
            <w:r>
              <w:rPr/>
              <w:t>)</w:t>
            </w:r>
          </w:p>
        </w:tc>
      </w:tr>
      <w:tr>
        <w:trPr/>
        <w:tc>
          <w:tcPr>
            <w:tcW w:w="7440" w:type="dxa"/>
            <w:tcBorders/>
            <w:shd w:fill="FFFFFF" w:val="clear"/>
            <w:vAlign w:val="center"/>
          </w:tcPr>
          <w:p>
            <w:pPr>
              <w:pStyle w:val="TableContents"/>
              <w:bidi w:val="0"/>
              <w:spacing w:before="0" w:after="283"/>
              <w:jc w:val="left"/>
              <w:rPr/>
            </w:pPr>
            <w:r>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171.8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120.0</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Capital expenditures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283"/>
              <w:jc w:val="right"/>
              <w:rPr/>
            </w:pPr>
            <w:r>
              <w:rPr/>
              <w:t>(24.9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112" w:type="dxa"/>
            <w:tcBorders/>
            <w:shd w:fill="CCEEFF" w:val="clear"/>
            <w:vAlign w:val="center"/>
          </w:tcPr>
          <w:p>
            <w:pPr>
              <w:pStyle w:val="TableContents"/>
              <w:bidi w:val="0"/>
              <w:spacing w:before="0" w:after="283"/>
              <w:jc w:val="left"/>
              <w:rPr/>
            </w:pPr>
            <w:r>
              <w:rPr/>
              <w:t>)</w:t>
            </w:r>
          </w:p>
        </w:tc>
      </w:tr>
      <w:tr>
        <w:trPr/>
        <w:tc>
          <w:tcPr>
            <w:tcW w:w="744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(24.9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(15.7</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Proceeds received from revolving credit facilities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Repayments of revolving credit facilities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(5.0</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Repayments of term loans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(77.0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Repayments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(1.1</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Principal payments on finance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(1.2</w:t>
            </w:r>
          </w:p>
        </w:tc>
        <w:tc>
          <w:tcPr>
            <w:tcW w:w="112" w:type="dxa"/>
            <w:tcBorders/>
            <w:shd w:fill="CCEEFF" w:val="clear"/>
            <w:vAlign w:val="center"/>
          </w:tcPr>
          <w:p>
            <w:pPr>
              <w:pStyle w:val="TableContents"/>
              <w:bidi w:val="0"/>
              <w:spacing w:before="0" w:after="283"/>
              <w:jc w:val="left"/>
              <w:rPr/>
            </w:pPr>
            <w:r>
              <w:rPr/>
              <w:t>)</w:t>
            </w:r>
          </w:p>
        </w:tc>
      </w:tr>
      <w:tr>
        <w:trPr/>
        <w:tc>
          <w:tcPr>
            <w:tcW w:w="7440" w:type="dxa"/>
            <w:tcBorders/>
            <w:shd w:fill="FFFFFF" w:val="clear"/>
            <w:vAlign w:val="center"/>
          </w:tcPr>
          <w:p>
            <w:pPr>
              <w:pStyle w:val="TableContents"/>
              <w:bidi w:val="0"/>
              <w:spacing w:before="0" w:after="283"/>
              <w:jc w:val="left"/>
              <w:rPr/>
            </w:pPr>
            <w:r>
              <w:rPr/>
              <w:t>Exercise of equity awards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2.4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11.5</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Tax withholding for common stock issued under equity incentive plans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CCEEFF" w:val="clear"/>
            <w:tcMar>
              <w:bottom w:w="28" w:type="dxa"/>
            </w:tcMar>
            <w:vAlign w:val="center"/>
          </w:tcPr>
          <w:p>
            <w:pPr>
              <w:pStyle w:val="TableContents"/>
              <w:bidi w:val="0"/>
              <w:spacing w:before="0" w:after="283"/>
              <w:jc w:val="right"/>
              <w:rPr/>
            </w:pPr>
            <w:r>
              <w:rPr/>
              <w:t>(10.7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112" w:type="dxa"/>
            <w:tcBorders/>
            <w:shd w:fill="CCEEFF" w:val="clear"/>
            <w:vAlign w:val="center"/>
          </w:tcPr>
          <w:p>
            <w:pPr>
              <w:pStyle w:val="TableContents"/>
              <w:bidi w:val="0"/>
              <w:spacing w:before="0" w:after="283"/>
              <w:jc w:val="left"/>
              <w:rPr/>
            </w:pPr>
            <w:r>
              <w:rPr/>
              <w:t>)</w:t>
            </w:r>
          </w:p>
        </w:tc>
      </w:tr>
      <w:tr>
        <w:trPr/>
        <w:tc>
          <w:tcPr>
            <w:tcW w:w="7440" w:type="dxa"/>
            <w:tcBorders/>
            <w:shd w:fill="FFFFFF" w:val="clear"/>
            <w:vAlign w:val="center"/>
          </w:tcPr>
          <w:p>
            <w:pPr>
              <w:pStyle w:val="TableContents"/>
              <w:bidi w:val="0"/>
              <w:spacing w:before="0" w:after="283"/>
              <w:jc w:val="left"/>
              <w:rPr/>
            </w:pPr>
            <w:r>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(79.4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(7.9</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FFFFFF" w:val="clear"/>
            <w:tcMar>
              <w:bottom w:w="28" w:type="dxa"/>
            </w:tcM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(0.3</w:t>
            </w:r>
          </w:p>
        </w:tc>
        <w:tc>
          <w:tcPr>
            <w:tcW w:w="112" w:type="dxa"/>
            <w:tcBorders/>
            <w:shd w:fill="FFFFFF" w:val="clear"/>
            <w:vAlign w:val="center"/>
          </w:tcPr>
          <w:p>
            <w:pPr>
              <w:pStyle w:val="TableContents"/>
              <w:bidi w:val="0"/>
              <w:spacing w:before="0" w:after="283"/>
              <w:jc w:val="left"/>
              <w:rPr/>
            </w:pPr>
            <w:r>
              <w:rPr/>
              <w:t>)</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b/>
              </w:rPr>
            </w:pPr>
            <w:r>
              <w:rPr>
                <w:b/>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Increase during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67.2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96.1</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shd w:fill="FFFFFF" w:val="clear"/>
            <w:tcMar>
              <w:bottom w:w="28" w:type="dxa"/>
            </w:tcMar>
            <w:vAlign w:val="center"/>
          </w:tcPr>
          <w:p>
            <w:pPr>
              <w:pStyle w:val="TableContents"/>
              <w:bidi w:val="0"/>
              <w:spacing w:before="0" w:after="283"/>
              <w:jc w:val="right"/>
              <w:rPr/>
            </w:pPr>
            <w:r>
              <w:rPr/>
              <w:t>57.3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36.8</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10" w:type="dxa"/>
            <w:tcBorders>
              <w:bottom w:val="double" w:sz="10" w:space="0" w:color="000000"/>
            </w:tcBorders>
            <w:shd w:fill="CCEEFF" w:val="clear"/>
            <w:tcMar>
              <w:bottom w:w="28" w:type="dxa"/>
            </w:tcMar>
            <w:vAlign w:val="center"/>
          </w:tcPr>
          <w:p>
            <w:pPr>
              <w:pStyle w:val="TableContents"/>
              <w:bidi w:val="0"/>
              <w:spacing w:before="0" w:after="283"/>
              <w:jc w:val="right"/>
              <w:rPr/>
            </w:pPr>
            <w:r>
              <w:rPr/>
              <w:t>124.5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95" w:type="dxa"/>
            <w:tcBorders>
              <w:bottom w:val="double" w:sz="10" w:space="0" w:color="000000"/>
            </w:tcBorders>
            <w:shd w:fill="CCEEFF" w:val="clear"/>
            <w:tcMar>
              <w:bottom w:w="28" w:type="dxa"/>
            </w:tcMar>
            <w:vAlign w:val="center"/>
          </w:tcPr>
          <w:p>
            <w:pPr>
              <w:pStyle w:val="TableContents"/>
              <w:bidi w:val="0"/>
              <w:spacing w:before="0" w:after="283"/>
              <w:jc w:val="right"/>
              <w:rPr/>
            </w:pPr>
            <w:r>
              <w:rPr/>
              <w:t>132.9</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Cash paid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10" w:type="dxa"/>
            <w:tcBorders/>
            <w:shd w:fill="CCEEFF" w:val="clear"/>
            <w:vAlign w:val="center"/>
          </w:tcPr>
          <w:p>
            <w:pPr>
              <w:pStyle w:val="TableContents"/>
              <w:bidi w:val="0"/>
              <w:spacing w:before="0" w:after="283"/>
              <w:jc w:val="right"/>
              <w:rPr/>
            </w:pPr>
            <w:r>
              <w:rPr/>
              <w:t>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1.4</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13.8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17.0</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b/>
              </w:rPr>
            </w:pPr>
            <w:r>
              <w:rPr>
                <w:b/>
              </w:rPr>
              <w:t>FY2027 Q2 Outlook - Modeling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$505.0 - $515.0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40" w:type="dxa"/>
            <w:tcBorders/>
            <w:shd w:fill="FFFFFF" w:val="clear"/>
            <w:vAlign w:val="center"/>
          </w:tcPr>
          <w:p>
            <w:pPr>
              <w:pStyle w:val="TableContents"/>
              <w:bidi w:val="0"/>
              <w:spacing w:before="0" w:after="283"/>
              <w:jc w:val="left"/>
              <w:rPr/>
            </w:pPr>
            <w:r>
              <w:rPr/>
              <w:t>Gross margin (as a percentage of net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45.5% - 45.75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40" w:type="dxa"/>
            <w:tcBorders/>
            <w:shd w:fill="CCEEFF" w:val="clear"/>
            <w:vAlign w:val="center"/>
          </w:tcPr>
          <w:p>
            <w:pPr>
              <w:pStyle w:val="TableContents"/>
              <w:bidi w:val="0"/>
              <w:spacing w:before="0" w:after="283"/>
              <w:jc w:val="left"/>
              <w:rPr/>
            </w:pPr>
            <w:r>
              <w:rPr/>
              <w:t>SG&amp;A (as a percentage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 - 16.75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920"/>
        <w:gridCol w:w="3080"/>
      </w:tblGrid>
      <w:tr>
        <w:trPr/>
        <w:tc>
          <w:tcPr>
            <w:tcW w:w="920" w:type="dxa"/>
            <w:tcBorders/>
            <w:vAlign w:val="center"/>
          </w:tcPr>
          <w:p>
            <w:pPr>
              <w:pStyle w:val="TableContents"/>
              <w:bidi w:val="0"/>
              <w:spacing w:before="0" w:after="283"/>
              <w:jc w:val="left"/>
              <w:rPr>
                <w:b/>
              </w:rPr>
            </w:pPr>
            <w:r>
              <w:rPr>
                <w:b/>
              </w:rPr>
              <w:t>Contact:</w:t>
            </w:r>
          </w:p>
        </w:tc>
        <w:tc>
          <w:tcPr>
            <w:tcW w:w="3080" w:type="dxa"/>
            <w:tcBorders/>
            <w:vAlign w:val="center"/>
          </w:tcPr>
          <w:p>
            <w:pPr>
              <w:pStyle w:val="TableContents"/>
              <w:bidi w:val="0"/>
              <w:spacing w:before="0" w:after="283"/>
              <w:jc w:val="both"/>
              <w:rPr/>
            </w:pPr>
            <w:r>
              <w:rPr/>
              <w:t>Mike Cummings or Josh Carroll</w:t>
            </w:r>
          </w:p>
        </w:tc>
      </w:tr>
      <w:tr>
        <w:trPr/>
        <w:tc>
          <w:tcPr>
            <w:tcW w:w="9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both"/>
              <w:rPr/>
            </w:pPr>
            <w:r>
              <w:rPr/>
              <w:t>investors@rbcbearings.com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4131</Words>
  <Characters>22359</Characters>
  <CharactersWithSpaces>27011</CharactersWithSpaces>
  <Paragraphs>1882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