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4597-8k_rbcbearings.htm"/>
      <w:bookmarkStart w:id="1" w:name="ksea03045978k_rbcbearings"/>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9_edei--DocumentType_c20260903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w:t>
      </w:r>
      <w:r>
        <w:rPr>
          <w:rFonts w:ascii="Times New Roman;Times;Serif" w:hAnsi="Times New Roman;Times;Serif"/>
          <w:b/>
          <w:i w:val="false"/>
          <w:caps w:val="false"/>
          <w:smallCaps w:val="false"/>
          <w:sz w:val="20"/>
        </w:rPr>
        <w:t>September 9, 2026</w:t>
      </w:r>
      <w:r>
        <w:rPr>
          <w:rFonts w:ascii="Times New Roman;Times;Serif" w:hAnsi="Times New Roman;Times;Serif"/>
          <w:b w:val="false"/>
          <w:i w:val="false"/>
          <w:caps w:val="false"/>
          <w:smallCaps w:val="false"/>
          <w:sz w:val="20"/>
        </w:rPr>
        <w:t xml:space="preserve"> (Date of earliest event reported: </w:t>
      </w:r>
      <w:bookmarkStart w:id="3" w:name="xdx_907_edei--DocumentPeriodEndDate_c202"/>
      <w:bookmarkEnd w:id="3"/>
      <w:r>
        <w:rPr>
          <w:rFonts w:ascii="Times New Roman;Times;Serif" w:hAnsi="Times New Roman;Times;Serif"/>
          <w:b/>
          <w:i w:val="false"/>
          <w:caps w:val="false"/>
          <w:smallCaps w:val="false"/>
          <w:sz w:val="20"/>
        </w:rPr>
        <w:t>September 3, 2026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1_edei--EntityRegistrantName_c2026"/>
      <w:bookmarkEnd w:id="4"/>
      <w:r>
        <w:rPr>
          <w:rFonts w:ascii="Times New Roman;Times;Serif" w:hAnsi="Times New Roman;Times;Serif"/>
          <w:b/>
          <w:i w:val="false"/>
          <w:caps w:val="false"/>
          <w:smallCaps w:val="false"/>
          <w:sz w:val="20"/>
        </w:rPr>
        <w:t>RBC BEARINGS INCORPORATED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9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B_edei--EntityFileNumber_c20260903"/>
            <w:bookmarkEnd w:id="6"/>
            <w:r>
              <w:rPr>
                <w:rFonts w:ascii="Times New Roman;Times;Serif" w:hAnsi="Times New Roman;Times;Serif"/>
                <w:b/>
                <w:sz w:val="20"/>
              </w:rPr>
              <w:t>001-40840</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8_edei--EntityTaxIdentificationNum"/>
            <w:bookmarkEnd w:id="7"/>
            <w:r>
              <w:rPr>
                <w:rFonts w:ascii="Times New Roman;Times;Serif" w:hAnsi="Times New Roman;Times;Serif"/>
                <w:b/>
                <w:sz w:val="20"/>
              </w:rPr>
              <w:t>95-4372080</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One Tribology Center</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0_edei--EntityAddressCityOrTown_c2"/>
      <w:bookmarkEnd w:id="9"/>
      <w:r>
        <w:rPr>
          <w:rFonts w:ascii="Times New Roman;Times;Serif" w:hAnsi="Times New Roman;Times;Serif"/>
          <w:b/>
          <w:i w:val="false"/>
          <w:caps w:val="false"/>
          <w:smallCaps w:val="false"/>
          <w:sz w:val="20"/>
        </w:rPr>
        <w:t xml:space="preserve">Oxford, </w:t>
      </w:r>
      <w:bookmarkStart w:id="10" w:name="xdx_909_edei--EntityAddressStateOrProvin"/>
      <w:bookmarkEnd w:id="10"/>
      <w:r>
        <w:rPr>
          <w:rFonts w:ascii="Times New Roman;Times;Serif" w:hAnsi="Times New Roman;Times;Serif"/>
          <w:b/>
          <w:i w:val="false"/>
          <w:caps w:val="false"/>
          <w:smallCaps w:val="false"/>
          <w:sz w:val="20"/>
        </w:rPr>
        <w:t xml:space="preserve">CT </w:t>
      </w:r>
      <w:bookmarkStart w:id="11" w:name="xdx_90F_edei--EntityAddressPostalZipCode"/>
      <w:bookmarkEnd w:id="11"/>
      <w:r>
        <w:rPr>
          <w:rFonts w:ascii="Times New Roman;Times;Serif" w:hAnsi="Times New Roman;Times;Serif"/>
          <w:b/>
          <w:i w:val="false"/>
          <w:caps w:val="false"/>
          <w:smallCaps w:val="false"/>
          <w:sz w:val="20"/>
        </w:rPr>
        <w:t>06478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C_edei--CityAreaCode_c20260903__20"/>
      <w:bookmarkEnd w:id="12"/>
      <w:r>
        <w:rPr>
          <w:rFonts w:ascii="Times New Roman;Times;Serif" w:hAnsi="Times New Roman;Times;Serif"/>
          <w:b/>
          <w:i w:val="false"/>
          <w:caps w:val="false"/>
          <w:smallCaps w:val="false"/>
          <w:sz w:val="20"/>
        </w:rPr>
        <w:t xml:space="preserve">203) </w:t>
      </w:r>
      <w:bookmarkStart w:id="13" w:name="xdx_90D_edei--LocalPhoneNumber_c20260903"/>
      <w:bookmarkEnd w:id="13"/>
      <w:r>
        <w:rPr>
          <w:rFonts w:ascii="Times New Roman;Times;Serif" w:hAnsi="Times New Roman;Times;Serif"/>
          <w:b/>
          <w:i w:val="false"/>
          <w:caps w:val="false"/>
          <w:smallCaps w:val="false"/>
          <w:sz w:val="20"/>
        </w:rPr>
        <w:t>267-7001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val="false"/>
          <w:caps w:val="false"/>
          <w:smallCaps w:val="false"/>
          <w:sz w:val="20"/>
          <w:u w:val="single"/>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3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B_edei--SolicitingMaterial_c202609"/>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1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0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firstLine="360"/>
        <w:jc w:val="left"/>
        <w:rPr>
          <w:caps w:val="false"/>
          <w:smallCaps w:val="false"/>
        </w:rPr>
      </w:pPr>
      <w:r>
        <w:rPr>
          <w:caps w:val="false"/>
          <w:smallCaps w:val="false"/>
        </w:rPr>
        <w:t> </w:t>
      </w:r>
    </w:p>
    <w:tbl>
      <w:tblPr>
        <w:tblW w:w="8640" w:type="dxa"/>
        <w:jc w:val="left"/>
        <w:tblInd w:w="0" w:type="dxa"/>
        <w:tblLayout w:type="fixed"/>
        <w:tblCellMar>
          <w:top w:w="0" w:type="dxa"/>
          <w:left w:w="0" w:type="dxa"/>
          <w:bottom w:w="28" w:type="dxa"/>
          <w:right w:w="0" w:type="dxa"/>
        </w:tblCellMar>
      </w:tblPr>
      <w:tblGrid>
        <w:gridCol w:w="3410"/>
        <w:gridCol w:w="60"/>
        <w:gridCol w:w="1340"/>
        <w:gridCol w:w="60"/>
        <w:gridCol w:w="3770"/>
      </w:tblGrid>
      <w:tr>
        <w:trPr/>
        <w:tc>
          <w:tcPr>
            <w:tcW w:w="341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34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377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4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E_edei--Security12bTitle_c20260903"/>
            <w:bookmarkEnd w:id="18"/>
            <w:r>
              <w:rPr>
                <w:rFonts w:ascii="Times New Roman;Times;Serif" w:hAnsi="Times New Roman;Times;Serif"/>
                <w:sz w:val="20"/>
              </w:rPr>
              <w:t>Common Stock, par value $0.01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0_edei--TradingSymbol_c20260903__2"/>
            <w:bookmarkEnd w:id="19"/>
            <w:r>
              <w:rPr>
                <w:rFonts w:ascii="Times New Roman;Times;Serif" w:hAnsi="Times New Roman;Times;Serif"/>
                <w:sz w:val="20"/>
              </w:rPr>
              <w:t>RBC</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7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7_edei--SecurityExchangeName_c2026"/>
            <w:bookmarkEnd w:id="20"/>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4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B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5 - Corporate Governance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5.02(b). Director Retirement.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Frederick J. Elmy retired from the Board of Directors of RBC Bearings Incorporated (the “Company”) on September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annual meeting of stockholders held on September 3, 2026, the stockholders (1) elected all of the Company’s nominees for director, (2) ratified the appointment of Ernst &amp; Young LLP as the Company’s independent registered public accounting firm for fiscal year 2027, and (3) approved, on an advisory basis, the compensation paid to the Company’s named executive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were voted on these proposals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1. </w:t>
      </w:r>
      <w:r>
        <w:rPr>
          <w:rFonts w:ascii="Times New Roman;Times;Serif" w:hAnsi="Times New Roman;Times;Serif"/>
          <w:b w:val="false"/>
          <w:i w:val="false"/>
          <w:caps w:val="false"/>
          <w:smallCaps w:val="false"/>
          <w:sz w:val="20"/>
        </w:rPr>
        <w:t>The election of two directors in Class III to serve a term of three years:</w:t>
      </w:r>
    </w:p>
    <w:p>
      <w:pPr>
        <w:pStyle w:val="TextBody"/>
        <w:bidi w:val="0"/>
        <w:spacing w:before="0" w:after="0"/>
        <w:ind w:left="0" w:right="0" w:hanging="0"/>
        <w:jc w:val="left"/>
        <w:rPr>
          <w:caps w:val="false"/>
          <w:smallCaps w:val="false"/>
        </w:rPr>
      </w:pPr>
      <w:r>
        <w:rPr>
          <w:caps w:val="false"/>
          <w:smallCaps w:val="false"/>
        </w:rPr>
        <w:t> </w:t>
      </w:r>
    </w:p>
    <w:tbl>
      <w:tblPr>
        <w:tblW w:w="6190" w:type="dxa"/>
        <w:jc w:val="left"/>
        <w:tblInd w:w="0" w:type="dxa"/>
        <w:tblLayout w:type="fixed"/>
        <w:tblCellMar>
          <w:top w:w="0" w:type="dxa"/>
          <w:left w:w="0" w:type="dxa"/>
          <w:bottom w:w="28" w:type="dxa"/>
          <w:right w:w="0" w:type="dxa"/>
        </w:tblCellMar>
      </w:tblPr>
      <w:tblGrid>
        <w:gridCol w:w="1865"/>
        <w:gridCol w:w="60"/>
        <w:gridCol w:w="950"/>
        <w:gridCol w:w="60"/>
        <w:gridCol w:w="845"/>
        <w:gridCol w:w="60"/>
        <w:gridCol w:w="800"/>
        <w:gridCol w:w="60"/>
        <w:gridCol w:w="1490"/>
      </w:tblGrid>
      <w:tr>
        <w:trPr/>
        <w:tc>
          <w:tcPr>
            <w:tcW w:w="186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Nominees</w:t>
            </w:r>
          </w:p>
        </w:tc>
        <w:tc>
          <w:tcPr>
            <w:tcW w:w="60" w:type="dxa"/>
            <w:tcBorders/>
            <w:tcMar>
              <w:bottom w:w="0" w:type="dxa"/>
            </w:tcMar>
            <w:vAlign w:val="center"/>
          </w:tcPr>
          <w:p>
            <w:pPr>
              <w:pStyle w:val="TableContents"/>
              <w:bidi w:val="0"/>
              <w:spacing w:before="0" w:after="283"/>
              <w:jc w:val="center"/>
              <w:rPr/>
            </w:pPr>
            <w:r>
              <w:rPr/>
              <w:t> </w:t>
            </w:r>
          </w:p>
        </w:tc>
        <w:tc>
          <w:tcPr>
            <w:tcW w:w="9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p>
        </w:tc>
        <w:tc>
          <w:tcPr>
            <w:tcW w:w="60" w:type="dxa"/>
            <w:tcBorders/>
            <w:tcMar>
              <w:bottom w:w="0" w:type="dxa"/>
            </w:tcMar>
            <w:vAlign w:val="center"/>
          </w:tcPr>
          <w:p>
            <w:pPr>
              <w:pStyle w:val="TableContents"/>
              <w:bidi w:val="0"/>
              <w:spacing w:before="0" w:after="283"/>
              <w:jc w:val="center"/>
              <w:rPr/>
            </w:pPr>
            <w:r>
              <w:rPr/>
              <w:t> </w:t>
            </w:r>
          </w:p>
        </w:tc>
        <w:tc>
          <w:tcPr>
            <w:tcW w:w="84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60" w:type="dxa"/>
            <w:tcBorders/>
            <w:tcMar>
              <w:bottom w:w="0" w:type="dxa"/>
            </w:tcMar>
            <w:vAlign w:val="center"/>
          </w:tcPr>
          <w:p>
            <w:pPr>
              <w:pStyle w:val="TableContents"/>
              <w:bidi w:val="0"/>
              <w:spacing w:before="0" w:after="283"/>
              <w:jc w:val="center"/>
              <w:rPr/>
            </w:pPr>
            <w:r>
              <w:rPr/>
              <w:t> </w:t>
            </w:r>
          </w:p>
        </w:tc>
        <w:tc>
          <w:tcPr>
            <w:tcW w:w="8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Withheld</w:t>
            </w:r>
          </w:p>
        </w:tc>
        <w:tc>
          <w:tcPr>
            <w:tcW w:w="60" w:type="dxa"/>
            <w:tcBorders/>
            <w:tcMar>
              <w:bottom w:w="0" w:type="dxa"/>
            </w:tcMar>
            <w:vAlign w:val="center"/>
          </w:tcPr>
          <w:p>
            <w:pPr>
              <w:pStyle w:val="TableContents"/>
              <w:bidi w:val="0"/>
              <w:spacing w:before="0" w:after="283"/>
              <w:jc w:val="center"/>
              <w:rPr/>
            </w:pPr>
            <w:r>
              <w:rPr/>
              <w:t> </w:t>
            </w:r>
          </w:p>
        </w:tc>
        <w:tc>
          <w:tcPr>
            <w:tcW w:w="14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Broker Non-Vote</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Michael J. Hartnett</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27,410,015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733,424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1,313,077</w:t>
            </w:r>
          </w:p>
        </w:tc>
      </w:tr>
      <w:tr>
        <w:trPr/>
        <w:tc>
          <w:tcPr>
            <w:tcW w:w="18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Dolores J. Ennico</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21,681,115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6,459,846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1,313,077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2. </w:t>
      </w:r>
      <w:r>
        <w:rPr>
          <w:rFonts w:ascii="Times New Roman;Times;Serif" w:hAnsi="Times New Roman;Times;Serif"/>
          <w:b w:val="false"/>
          <w:i w:val="false"/>
          <w:caps w:val="false"/>
          <w:smallCaps w:val="false"/>
          <w:sz w:val="20"/>
        </w:rPr>
        <w:t>To ratify the appointment of Ernst &amp; Young LLP as the Company’s independent registered public accounting firm for fiscal year 2027:</w:t>
      </w:r>
    </w:p>
    <w:p>
      <w:pPr>
        <w:pStyle w:val="TextBody"/>
        <w:bidi w:val="0"/>
        <w:spacing w:before="0" w:after="0"/>
        <w:ind w:left="0" w:right="0" w:hanging="0"/>
        <w:jc w:val="left"/>
        <w:rPr>
          <w:caps w:val="false"/>
          <w:smallCaps w:val="false"/>
        </w:rPr>
      </w:pPr>
      <w:r>
        <w:rPr>
          <w:caps w:val="false"/>
          <w:smallCaps w:val="false"/>
        </w:rPr>
        <w:t> </w:t>
      </w:r>
    </w:p>
    <w:tbl>
      <w:tblPr>
        <w:tblW w:w="3995" w:type="dxa"/>
        <w:jc w:val="left"/>
        <w:tblInd w:w="0" w:type="dxa"/>
        <w:tblLayout w:type="fixed"/>
        <w:tblCellMar>
          <w:top w:w="0" w:type="dxa"/>
          <w:left w:w="0" w:type="dxa"/>
          <w:bottom w:w="28" w:type="dxa"/>
          <w:right w:w="0" w:type="dxa"/>
        </w:tblCellMar>
      </w:tblPr>
      <w:tblGrid>
        <w:gridCol w:w="965"/>
        <w:gridCol w:w="60"/>
        <w:gridCol w:w="695"/>
        <w:gridCol w:w="60"/>
        <w:gridCol w:w="665"/>
        <w:gridCol w:w="60"/>
        <w:gridCol w:w="1490"/>
      </w:tblGrid>
      <w:tr>
        <w:trPr/>
        <w:tc>
          <w:tcPr>
            <w:tcW w:w="9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p>
        </w:tc>
        <w:tc>
          <w:tcPr>
            <w:tcW w:w="60" w:type="dxa"/>
            <w:tcBorders/>
            <w:tcMar>
              <w:bottom w:w="0" w:type="dxa"/>
            </w:tcMar>
            <w:vAlign w:val="center"/>
          </w:tcPr>
          <w:p>
            <w:pPr>
              <w:pStyle w:val="TableContents"/>
              <w:bidi w:val="0"/>
              <w:spacing w:before="0" w:after="283"/>
              <w:jc w:val="center"/>
              <w:rPr/>
            </w:pPr>
            <w:r>
              <w:rPr/>
              <w:t> </w:t>
            </w:r>
          </w:p>
        </w:tc>
        <w:tc>
          <w:tcPr>
            <w:tcW w:w="6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60" w:type="dxa"/>
            <w:tcBorders/>
            <w:tcMar>
              <w:bottom w:w="0" w:type="dxa"/>
            </w:tcMar>
            <w:vAlign w:val="center"/>
          </w:tcPr>
          <w:p>
            <w:pPr>
              <w:pStyle w:val="TableContents"/>
              <w:bidi w:val="0"/>
              <w:spacing w:before="0" w:after="283"/>
              <w:jc w:val="center"/>
              <w:rPr/>
            </w:pPr>
            <w:r>
              <w:rPr/>
              <w:t> </w:t>
            </w:r>
          </w:p>
        </w:tc>
        <w:tc>
          <w:tcPr>
            <w:tcW w:w="6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Abstain</w:t>
            </w:r>
          </w:p>
        </w:tc>
        <w:tc>
          <w:tcPr>
            <w:tcW w:w="60" w:type="dxa"/>
            <w:tcBorders/>
            <w:tcMar>
              <w:bottom w:w="0" w:type="dxa"/>
            </w:tcMar>
            <w:vAlign w:val="center"/>
          </w:tcPr>
          <w:p>
            <w:pPr>
              <w:pStyle w:val="TableContents"/>
              <w:bidi w:val="0"/>
              <w:spacing w:before="0" w:after="283"/>
              <w:jc w:val="center"/>
              <w:rPr/>
            </w:pPr>
            <w:r>
              <w:rPr/>
              <w:t> </w:t>
            </w:r>
          </w:p>
        </w:tc>
        <w:tc>
          <w:tcPr>
            <w:tcW w:w="14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Broker Non-Vote</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29,148,374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310,987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7,274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3. </w:t>
      </w:r>
      <w:r>
        <w:rPr>
          <w:rFonts w:ascii="Times New Roman;Times;Serif" w:hAnsi="Times New Roman;Times;Serif"/>
          <w:b w:val="false"/>
          <w:i w:val="false"/>
          <w:caps w:val="false"/>
          <w:smallCaps w:val="false"/>
          <w:sz w:val="20"/>
        </w:rPr>
        <w:t>The approval, on an advisory basis, of the compensation paid to the Company’s named executive officers:</w:t>
      </w:r>
    </w:p>
    <w:p>
      <w:pPr>
        <w:pStyle w:val="TextBody"/>
        <w:bidi w:val="0"/>
        <w:spacing w:before="0" w:after="0"/>
        <w:ind w:left="0" w:right="0" w:hanging="0"/>
        <w:jc w:val="left"/>
        <w:rPr>
          <w:caps w:val="false"/>
          <w:smallCaps w:val="false"/>
        </w:rPr>
      </w:pPr>
      <w:r>
        <w:rPr>
          <w:caps w:val="false"/>
          <w:smallCaps w:val="false"/>
        </w:rPr>
        <w:t> </w:t>
      </w:r>
    </w:p>
    <w:tbl>
      <w:tblPr>
        <w:tblW w:w="4145" w:type="dxa"/>
        <w:jc w:val="left"/>
        <w:tblInd w:w="0" w:type="dxa"/>
        <w:tblLayout w:type="fixed"/>
        <w:tblCellMar>
          <w:top w:w="0" w:type="dxa"/>
          <w:left w:w="0" w:type="dxa"/>
          <w:bottom w:w="28" w:type="dxa"/>
          <w:right w:w="0" w:type="dxa"/>
        </w:tblCellMar>
      </w:tblPr>
      <w:tblGrid>
        <w:gridCol w:w="965"/>
        <w:gridCol w:w="60"/>
        <w:gridCol w:w="845"/>
        <w:gridCol w:w="60"/>
        <w:gridCol w:w="665"/>
        <w:gridCol w:w="60"/>
        <w:gridCol w:w="1490"/>
      </w:tblGrid>
      <w:tr>
        <w:trPr/>
        <w:tc>
          <w:tcPr>
            <w:tcW w:w="9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w:t>
            </w:r>
          </w:p>
        </w:tc>
        <w:tc>
          <w:tcPr>
            <w:tcW w:w="60" w:type="dxa"/>
            <w:tcBorders/>
            <w:tcMar>
              <w:bottom w:w="0" w:type="dxa"/>
            </w:tcMar>
            <w:vAlign w:val="center"/>
          </w:tcPr>
          <w:p>
            <w:pPr>
              <w:pStyle w:val="TableContents"/>
              <w:bidi w:val="0"/>
              <w:spacing w:before="0" w:after="283"/>
              <w:jc w:val="center"/>
              <w:rPr/>
            </w:pPr>
            <w:r>
              <w:rPr/>
              <w:t> </w:t>
            </w:r>
          </w:p>
        </w:tc>
        <w:tc>
          <w:tcPr>
            <w:tcW w:w="84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Against</w:t>
            </w:r>
          </w:p>
        </w:tc>
        <w:tc>
          <w:tcPr>
            <w:tcW w:w="60" w:type="dxa"/>
            <w:tcBorders/>
            <w:tcMar>
              <w:bottom w:w="0" w:type="dxa"/>
            </w:tcMar>
            <w:vAlign w:val="center"/>
          </w:tcPr>
          <w:p>
            <w:pPr>
              <w:pStyle w:val="TableContents"/>
              <w:bidi w:val="0"/>
              <w:spacing w:before="0" w:after="283"/>
              <w:jc w:val="center"/>
              <w:rPr/>
            </w:pPr>
            <w:r>
              <w:rPr/>
              <w:t> </w:t>
            </w:r>
          </w:p>
        </w:tc>
        <w:tc>
          <w:tcPr>
            <w:tcW w:w="6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Abstain</w:t>
            </w:r>
          </w:p>
        </w:tc>
        <w:tc>
          <w:tcPr>
            <w:tcW w:w="60" w:type="dxa"/>
            <w:tcBorders/>
            <w:tcMar>
              <w:bottom w:w="0" w:type="dxa"/>
            </w:tcMar>
            <w:vAlign w:val="center"/>
          </w:tcPr>
          <w:p>
            <w:pPr>
              <w:pStyle w:val="TableContents"/>
              <w:bidi w:val="0"/>
              <w:spacing w:before="0" w:after="283"/>
              <w:jc w:val="center"/>
              <w:rPr/>
            </w:pPr>
            <w:r>
              <w:rPr/>
              <w:t> </w:t>
            </w:r>
          </w:p>
        </w:tc>
        <w:tc>
          <w:tcPr>
            <w:tcW w:w="14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Broker Non-Vote</w:t>
            </w:r>
          </w:p>
        </w:tc>
      </w:tr>
      <w:tr>
        <w:trPr/>
        <w:tc>
          <w:tcPr>
            <w:tcW w:w="9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26,967,486</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4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1,172,452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13,620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1,313,077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requirements of the Securities Exchange Act of 1934, the Company has duly caused this report to be signed on its behalf by the undersigned, hereunto duly authorized.</w:t>
      </w:r>
    </w:p>
    <w:p>
      <w:pPr>
        <w:pStyle w:val="TextBody"/>
        <w:bidi w:val="0"/>
        <w:spacing w:before="0" w:after="0"/>
        <w:ind w:left="0" w:right="0" w:firstLine="396"/>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9, 2026</w:t>
      </w:r>
    </w:p>
    <w:p>
      <w:pPr>
        <w:pStyle w:val="TextBody"/>
        <w:bidi w:val="0"/>
        <w:spacing w:before="0" w:after="0"/>
        <w:ind w:left="0" w:right="0" w:hanging="0"/>
        <w:jc w:val="left"/>
        <w:rPr>
          <w:caps w:val="false"/>
          <w:smallCaps w:val="false"/>
        </w:rPr>
      </w:pPr>
      <w:r>
        <w:rPr>
          <w:caps w:val="false"/>
          <w:smallCaps w:val="false"/>
        </w:rPr>
        <w:t> </w:t>
      </w:r>
    </w:p>
    <w:tbl>
      <w:tblPr>
        <w:tblW w:w="4620" w:type="dxa"/>
        <w:jc w:val="left"/>
        <w:tblInd w:w="0" w:type="dxa"/>
        <w:tblLayout w:type="fixed"/>
        <w:tblCellMar>
          <w:top w:w="0" w:type="dxa"/>
          <w:left w:w="0" w:type="dxa"/>
          <w:bottom w:w="0" w:type="dxa"/>
          <w:right w:w="0" w:type="dxa"/>
        </w:tblCellMar>
      </w:tblPr>
      <w:tblGrid>
        <w:gridCol w:w="75"/>
        <w:gridCol w:w="320"/>
        <w:gridCol w:w="590"/>
        <w:gridCol w:w="3635"/>
      </w:tblGrid>
      <w:tr>
        <w:trPr/>
        <w:tc>
          <w:tcPr>
            <w:tcW w:w="75" w:type="dxa"/>
            <w:tcBorders/>
            <w:vAlign w:val="center"/>
          </w:tcPr>
          <w:p>
            <w:pPr>
              <w:pStyle w:val="TableContents"/>
              <w:bidi w:val="0"/>
              <w:spacing w:before="0" w:after="283"/>
              <w:jc w:val="left"/>
              <w:rPr/>
            </w:pPr>
            <w:r>
              <w:rPr/>
              <w:t> </w:t>
            </w:r>
          </w:p>
        </w:tc>
        <w:tc>
          <w:tcPr>
            <w:tcW w:w="454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RBC BEARINGS INCORPORATED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22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22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John J. Feeney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J. Feeney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General Counsel &amp;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570</Words>
  <Characters>3138</Characters>
  <CharactersWithSpaces>3704</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