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RBC Bearings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Durable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1,708,921.00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1,708,921.00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1,708,921.00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RBC Bearings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Tribology Center, Oxford CT 06478</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Durable Capital Partners LP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4747 Bethesda Avenue, Suite 1002, Bethesda, Maryland 20814</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limited partnership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the Reporting Person is set forth in Rows 5 through 9 and 11 of the cover page to this Schedule 13G. The ownership percentages reported are based on 31,635,359 outstanding shares of Common Stock, par value $0.01 per share (the "Shares") as of May 8, 2026, as reported in the Issuer's Form 10-K filed on May 15, 2026. Durable Capital Master Fund LP directly holds 1,708,921 Shares. The Reporting Person, as the investment adviser to Durable Capital Master Fund LP, has sole power to direct the vote and disposition of the Shares. Durable Capital Partners GP LLC ("Durable GP") is the general partner of the Reporting Person, and Henry Ellenbogen is the chief investment officer of the Reporting Person and the managing member of Durable GP.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1708921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1708921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of relationships among parties under Item 4. The economic benefits of the Shares are shared based on agreements among the parties.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control and Shares holding disclosure in Item 4.</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Durable Capital Partners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Julie Jack</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1060</Words>
  <Characters>5384</Characters>
  <CharactersWithSpaces>6433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