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x QUARTERLY REPORT PURSUANT TO SECTION 13 OR 15(d)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2, 2016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9" w:lineRule="exact"/>
        <w:rPr>
          <w:sz w:val="24"/>
          <w:szCs w:val="24"/>
          <w:color w:val="auto"/>
        </w:rPr>
      </w:pPr>
    </w:p>
    <w:p>
      <w:pPr>
        <w:ind w:left="3380" w:hanging="213"/>
        <w:spacing w:after="0"/>
        <w:tabs>
          <w:tab w:leader="none" w:pos="3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w:t>
      </w:r>
    </w:p>
    <w:p>
      <w:pPr>
        <w:spacing w:after="0" w:line="200" w:lineRule="exact"/>
        <w:rPr>
          <w:sz w:val="24"/>
          <w:szCs w:val="24"/>
          <w:color w:val="auto"/>
        </w:rPr>
      </w:pPr>
    </w:p>
    <w:p>
      <w:pPr>
        <w:spacing w:after="0" w:line="223" w:lineRule="exact"/>
        <w:rPr>
          <w:sz w:val="24"/>
          <w:szCs w:val="24"/>
          <w:color w:val="auto"/>
        </w:rPr>
      </w:pPr>
    </w:p>
    <w:p>
      <w:pPr>
        <w:ind w:left="3780"/>
        <w:spacing w:after="0"/>
        <w:tabs>
          <w:tab w:leader="none" w:pos="6620" w:val="left"/>
          <w:tab w:leader="none" w:pos="75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333-124824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RBC Bearings Incorporated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9"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540"/>
        <w:spacing w:after="0"/>
        <w:rPr>
          <w:sz w:val="20"/>
          <w:szCs w:val="20"/>
          <w:color w:val="auto"/>
        </w:rPr>
      </w:pPr>
      <w:r>
        <w:rPr>
          <w:rFonts w:ascii="Arial" w:cs="Arial" w:eastAsia="Arial" w:hAnsi="Arial"/>
          <w:sz w:val="18"/>
          <w:szCs w:val="18"/>
          <w:color w:val="auto"/>
        </w:rPr>
        <w:t>95-4372080</w:t>
      </w:r>
    </w:p>
    <w:p>
      <w:pPr>
        <w:spacing w:after="0" w:line="23"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733" w:right="239" w:bottom="1440" w:gutter="0" w:footer="0" w:header="0"/>
          <w:type w:val="continuous"/>
        </w:sectPr>
      </w:pPr>
    </w:p>
    <w:p>
      <w:pPr>
        <w:spacing w:after="0" w:line="22"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One Tribology Center</w:t>
      </w:r>
    </w:p>
    <w:p>
      <w:pPr>
        <w:spacing w:after="0" w:line="23" w:lineRule="exact"/>
        <w:rPr>
          <w:sz w:val="24"/>
          <w:szCs w:val="24"/>
          <w:color w:val="auto"/>
        </w:rPr>
      </w:pPr>
    </w:p>
    <w:p>
      <w:pPr>
        <w:jc w:val="center"/>
        <w:ind w:right="1780"/>
        <w:spacing w:after="0"/>
        <w:rPr>
          <w:sz w:val="20"/>
          <w:szCs w:val="20"/>
          <w:color w:val="auto"/>
        </w:rPr>
      </w:pPr>
      <w:r>
        <w:rPr>
          <w:rFonts w:ascii="Arial" w:cs="Arial" w:eastAsia="Arial" w:hAnsi="Arial"/>
          <w:sz w:val="18"/>
          <w:szCs w:val="18"/>
          <w:color w:val="auto"/>
        </w:rPr>
        <w:t>Oxford, CT</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ind w:left="140"/>
        <w:spacing w:after="0"/>
        <w:rPr>
          <w:sz w:val="20"/>
          <w:szCs w:val="20"/>
          <w:color w:val="auto"/>
        </w:rPr>
      </w:pPr>
      <w:r>
        <w:rPr>
          <w:rFonts w:ascii="Arial" w:cs="Arial" w:eastAsia="Arial" w:hAnsi="Arial"/>
          <w:sz w:val="18"/>
          <w:szCs w:val="18"/>
          <w:color w:val="auto"/>
        </w:rPr>
        <w:t>06478</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733"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(203) 267-7001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þ Accelerated filer 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Non-accelerated filer o (Do not check if a smaller reporting company) Smaller reporting company o</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July 22, 2016, RBC Bearings Incorporated had 23,752,422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 -</w:t>
            </w:r>
          </w:p>
        </w:tc>
        <w:tc>
          <w:tcPr>
            <w:tcW w:w="8460" w:type="dxa"/>
            <w:vAlign w:val="bottom"/>
            <w:gridSpan w:val="14"/>
            <w:shd w:val="clear" w:color="auto" w:fill="CCEEFF"/>
          </w:tcPr>
          <w:p>
            <w:pPr>
              <w:ind w:left="2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40" w:type="dxa"/>
            <w:vAlign w:val="bottom"/>
            <w:shd w:val="clear" w:color="auto" w:fill="CCEEFF"/>
          </w:tcPr>
          <w:p>
            <w:pPr>
              <w:spacing w:after="0"/>
              <w:rPr>
                <w:sz w:val="15"/>
                <w:szCs w:val="15"/>
                <w:color w:val="auto"/>
              </w:rPr>
            </w:pPr>
          </w:p>
        </w:tc>
        <w:tc>
          <w:tcPr>
            <w:tcW w:w="822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240" w:type="dxa"/>
            <w:vAlign w:val="bottom"/>
          </w:tcPr>
          <w:p>
            <w:pPr>
              <w:spacing w:after="0"/>
              <w:rPr>
                <w:sz w:val="15"/>
                <w:szCs w:val="15"/>
                <w:color w:val="auto"/>
              </w:rPr>
            </w:pPr>
          </w:p>
        </w:tc>
        <w:tc>
          <w:tcPr>
            <w:tcW w:w="8220" w:type="dxa"/>
            <w:vAlign w:val="bottom"/>
            <w:gridSpan w:val="1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40" w:type="dxa"/>
            <w:vAlign w:val="bottom"/>
            <w:shd w:val="clear" w:color="auto" w:fill="CCEEFF"/>
          </w:tcPr>
          <w:p>
            <w:pPr>
              <w:spacing w:after="0"/>
              <w:rPr>
                <w:sz w:val="17"/>
                <w:szCs w:val="17"/>
                <w:color w:val="auto"/>
              </w:rPr>
            </w:pPr>
          </w:p>
        </w:tc>
        <w:tc>
          <w:tcPr>
            <w:tcW w:w="822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860" w:type="dxa"/>
            <w:vAlign w:val="bottom"/>
            <w:tcBorders>
              <w:top w:val="single" w:sz="8" w:color="CCEEFF"/>
            </w:tcBorders>
            <w:gridSpan w:val="2"/>
          </w:tcPr>
          <w:p>
            <w:pPr>
              <w:spacing w:after="0"/>
              <w:rPr>
                <w:sz w:val="15"/>
                <w:szCs w:val="15"/>
                <w:color w:val="auto"/>
              </w:rPr>
            </w:pPr>
          </w:p>
        </w:tc>
        <w:tc>
          <w:tcPr>
            <w:tcW w:w="19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60" w:type="dxa"/>
            <w:vAlign w:val="bottom"/>
            <w:gridSpan w:val="14"/>
            <w:shd w:val="clear" w:color="auto" w:fill="CCEEFF"/>
          </w:tcPr>
          <w:p>
            <w:pPr>
              <w:ind w:left="2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Changes in Internal Control over Financial Reporting</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8460" w:type="dxa"/>
            <w:vAlign w:val="bottom"/>
            <w:gridSpan w:val="14"/>
            <w:shd w:val="clear" w:color="auto" w:fill="CCEEFF"/>
          </w:tcPr>
          <w:p>
            <w:pPr>
              <w:ind w:left="2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880" w:type="dxa"/>
            <w:vAlign w:val="bottom"/>
            <w:tcBorders>
              <w:bottom w:val="single" w:sz="8" w:color="CCEEFF"/>
            </w:tcBorders>
            <w:gridSpan w:val="9"/>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8460" w:type="dxa"/>
            <w:vAlign w:val="bottom"/>
            <w:gridSpan w:val="14"/>
          </w:tcPr>
          <w:p>
            <w:pPr>
              <w:ind w:left="2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4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8460" w:type="dxa"/>
            <w:vAlign w:val="bottom"/>
            <w:gridSpan w:val="14"/>
          </w:tcPr>
          <w:p>
            <w:pPr>
              <w:ind w:left="2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6440" w:type="dxa"/>
            <w:vAlign w:val="bottom"/>
            <w:tcBorders>
              <w:bottom w:val="single" w:sz="8" w:color="CCEEFF"/>
            </w:tcBorders>
            <w:gridSpan w:val="7"/>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8460" w:type="dxa"/>
            <w:vAlign w:val="bottom"/>
            <w:gridSpan w:val="14"/>
          </w:tcPr>
          <w:p>
            <w:pPr>
              <w:ind w:left="24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19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40" w:type="dxa"/>
            <w:vAlign w:val="bottom"/>
            <w:shd w:val="clear" w:color="auto" w:fill="CCEEFF"/>
          </w:tcPr>
          <w:p>
            <w:pPr>
              <w:spacing w:after="0"/>
              <w:rPr>
                <w:sz w:val="17"/>
                <w:szCs w:val="17"/>
                <w:color w:val="auto"/>
              </w:rPr>
            </w:pPr>
          </w:p>
        </w:tc>
        <w:tc>
          <w:tcPr>
            <w:tcW w:w="8220" w:type="dxa"/>
            <w:vAlign w:val="bottom"/>
            <w:gridSpan w:val="1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1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860" w:type="dxa"/>
            <w:vAlign w:val="bottom"/>
            <w:tcBorders>
              <w:top w:val="single" w:sz="8" w:color="CCEEFF"/>
              <w:bottom w:val="single" w:sz="8" w:color="auto"/>
            </w:tcBorders>
            <w:gridSpan w:val="11"/>
          </w:tcPr>
          <w:p>
            <w:pPr>
              <w:jc w:val="right"/>
              <w:ind w:right="1960"/>
              <w:spacing w:after="0"/>
              <w:rPr>
                <w:sz w:val="20"/>
                <w:szCs w:val="20"/>
                <w:color w:val="auto"/>
              </w:rPr>
            </w:pPr>
            <w:r>
              <w:rPr>
                <w:rFonts w:ascii="Arial" w:cs="Arial" w:eastAsia="Arial" w:hAnsi="Arial"/>
                <w:sz w:val="18"/>
                <w:szCs w:val="18"/>
                <w:color w:val="auto"/>
              </w:rPr>
              <w:t>2</w:t>
            </w:r>
          </w:p>
        </w:tc>
        <w:tc>
          <w:tcPr>
            <w:tcW w:w="176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2"/>
              </w:rPr>
              <w:t>RBC Bearings Incorporated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July 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April 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37,261</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w w:val="92"/>
              </w:rPr>
              <w:t>Accounts receivable, net of allowance for doubtful accounts of $1,336 at July 2, 2016 and $1,324 at April 2, 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101,508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284,341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184,799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184,744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268,080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$24,380 at July 2, 2016 and $22,165 at April 2, 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203,894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207,252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10,754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1,098,640</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1,098,510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32,493</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42,616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333,330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353,210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Preferred stock, $.01 par value; authorized shares: 10,000,000 at July 2, 2016 and April 2, 2016; none issued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$.01 par value; authorized shares: 60,000,000 at July 2, 2016 and April 2, 2016; issued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outstanding shares: 24,331,242 at July 2, 2016 and 24,146,767 at April 2, 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289,822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(8,185)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Arial" w:cs="Arial" w:eastAsia="Arial" w:hAnsi="Arial"/>
                <w:sz w:val="18"/>
                <w:szCs w:val="18"/>
                <w:color w:val="auto"/>
              </w:rPr>
              <w:t>Treasury stock, at cost, 651,004 shares at July 2, 2016 and 603,035 shares at April 2, 2016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(33,220)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(29,794)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644,770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July 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89,544</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margin</w:t>
            </w:r>
          </w:p>
        </w:tc>
        <w:tc>
          <w:tcPr>
            <w:tcW w:w="2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400"/>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2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40"/>
              <w:spacing w:after="0"/>
              <w:rPr>
                <w:sz w:val="20"/>
                <w:szCs w:val="20"/>
                <w:color w:val="auto"/>
              </w:rPr>
            </w:pPr>
            <w:r>
              <w:rPr>
                <w:rFonts w:ascii="Arial" w:cs="Arial" w:eastAsia="Arial" w:hAnsi="Arial"/>
                <w:sz w:val="18"/>
                <w:szCs w:val="18"/>
                <w:color w:val="auto"/>
              </w:rPr>
              <w:t>Basic</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23,320,579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23,162,560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23,626,751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23,536,364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80"/>
          </w:cols>
          <w:pgMar w:left="240" w:top="7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Pension and postretirement liability adjustments, net of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income</w:t>
      </w:r>
    </w:p>
    <w:p>
      <w:pPr>
        <w:spacing w:after="0" w:line="292"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July 2,</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27,</w:t>
            </w:r>
          </w:p>
        </w:tc>
        <w:tc>
          <w:tcPr>
            <w:tcW w:w="60" w:type="dxa"/>
            <w:vAlign w:val="bottom"/>
            <w:gridSpan w:val="2"/>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18,040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13,404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(227)</w:t>
            </w: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14,882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860" w:space="720"/>
            <w:col w:w="2800"/>
          </w:cols>
          <w:pgMar w:left="240" w:top="796" w:right="279" w:bottom="1440" w:gutter="0" w:footer="0" w:header="0"/>
          <w:type w:val="continuous"/>
        </w:sectPr>
      </w:pP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July 2,</w:t>
            </w: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18,040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benefits from stock-based compensation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Arial" w:cs="Arial" w:eastAsia="Arial" w:hAnsi="Arial"/>
                <w:sz w:val="18"/>
                <w:szCs w:val="18"/>
                <w:color w:val="auto"/>
              </w:rPr>
              <w:t>Other non-cash charges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 net of acquisitions: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Business acquisition</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revolving credit facility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credit facility</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from term loans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term loans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Finance fees paid in connection with credit facility</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Excess tax benefits from stock-based compensation</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2,971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1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rPr>
          <w:sz w:val="20"/>
          <w:szCs w:val="20"/>
          <w:color w:val="auto"/>
        </w:rPr>
      </w:pPr>
      <w:r>
        <w:rPr>
          <w:rFonts w:ascii="Arial" w:cs="Arial" w:eastAsia="Arial" w:hAnsi="Arial"/>
          <w:sz w:val="15"/>
          <w:szCs w:val="15"/>
          <w:b w:val="1"/>
          <w:bCs w:val="1"/>
          <w:color w:val="auto"/>
        </w:rPr>
        <w:t>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Decrease during the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(63,893)</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39,208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125,455</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-462280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-179705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796"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consolidated financial statements included herein have been prepared by RBC Bearings Incorporated, a Delaware corporation (collectively with its subsidiaries, the “Company”), without audit, pursuant to the rules and regulations of the Securities and Exchange Commission. The April 2, 2016 fiscal year end balance sheet data have been derived from the Company’s audited financial statements, but do not include all disclosures required by generally accepted accounting principles in the United States. The interim financial statements included with this report have been prepared on a consistent basis with the Company’s audited financial statements and notes thereto included in the Company’s Annual Report on Form 10-K for the fiscal year ended April 2, 2016.</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statements reflect all adjustments, accruals and estimates consisting only of items of a normal recurring nature, which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in the Annual Report on Form 10-K.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results of operations for the three month period ended July 2, 2016 are not necessarily indicative of the operating results for the entire fiscal year ending April 1, 2017. The three month periods ended July 2, 2016 and June 27, 2015 each include 13 weeks. The amounts shown are in thousands, unless otherwise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accordance with SEC Staff Accounting Bulletin 101 "Revenue Recognition in Financial Statements as amended by Staff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Bulletin 104,” we recognize revenues principally from the sale of products at the point of passage of title, which is at the time of shipment, except for certain customers for which it occurs when the products reach their destination.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recognize revenue on a Ship-In-Place basis for two customers who have required that we hold the product after final production is complete. In this case, a written agreement has been executed (at the customer’s request) whereby the customer accepts the risk of loss for product that is invoiced under the Ship-In-Place arrangement. For each transaction for which revenue is recognized under a Ship-In-Place arrangement, all final manufacturing inspections have been completed and customer acceptance has been obtained. In the three months ended July 2, 2016, 2.4% of the Company’s total net sales was recognized under Ship-In-Place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Recent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"Improvements to Employee Share-Based Payment Accounting" which amends ASC Topic 718, Compensation - Stock Compensation. This ASU includes provisions intended to simplify various aspects related to how share-based payments are accounted for and presented in the financial statements. This ASU is effective for public companies for the financial statements issued for annual periods beginning after December 15, 2016 and interim periods within those annual periods. Earlier application is permitted as of the beginning of an interim or annual reporting period, with any adjustments reflected as of the beginning of the fiscal year of adoption. The Company has not determined the effect that the adoption of the pronouncement may have on its financial position and/or results of operations.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In March 2016, the FASB issued ASU No. 2016-08, Revenue from Contracts with Customers (Topic 606) – Principal versus Agent Considerations (Reporting Revenue Gross versus Net), which amends the principal-versus-agent implementation guidance in ASU No. 2014-09 (Topic 606), Revenue from Contracts with Customers, issued by the FASB in May 2014. ASU No. 2016-08 clarifies the principal-versus-agent guidance in Topic 606 and requires an entity to determine whether the nature of its promise to provide goods or services to a customer is performed in a principal or agent capacity and to recognize revenue in a gross or net manner based on its principal/agent designation. ASU 2014-09 is a comprehensive new revenue recognition standard that will supersede nearly all existing revenue recognition guidance under U.S. GAAP. This update requires the Company to recognize revenue at amounts that reflect the consideration to which the Company expects to be entitled in exchange for those goods or services at the time of transfer. In doing so, the Company will need to use more judgement and make more estimates than under today’s guidance, such estimates include identifying performance obligations in the contracts, estimating the amount of variable consideration to include the transaction price and allocating the transaction price to each separate performance obligation. The Company can either apply a full retrospective adoption or a modified retrospective adoption. This ASU is effective for annual reporting periods beginning after December 15, 2017 and interim periods therein. The Company has not determined the effect that the adoption of the pronouncement may have on its financial position and/or results of operations.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2016, the FASB issued ASU 2016-02, “Leases”. The core principal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under a modified retrospective approach and early adoption is permitted. The Company is currently evaluating the impact this adoption will have on its consolidated financial statements.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2015, the FASB issued ASU No. 2015-17 (Topic 740): "Balance Sheet Classification of Deferred Taxes". The FASB issued this ASU as part of its simplification initiative to reduce complexity in accounting standards. This ASU eliminates the current requirement that requires an organization to present deferred tax liabilities and assets as current and noncurrent in a classified balance sheet. Instead, organizations with a classified balance sheet are now required to classify all deferred tax assets and liabilities as noncurrent assets or noncurrent liabilities. This ASU is effective for public companies for the financial statements issued for annual periods beginning after December 15, 2016 and interim periods within those annual periods. Earlier application is permitted as of the beginning of an interim or annual reporting period. The Company elected to early adopt this guidance prospectively during the fourth quarter of fiscal year 2016.</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September 2015, the FASB issued ASU No. 2015-16, “Business Combinations (Topic 805), Simplifying the Accounting for Measurement-Period Adjustments.” This ASU allows an acquirer in a business combination to account for measurement-period adjustments during the period in which it determines the amount of the adjustment. An acquirer would also need to capture in the current period any effect on earnings it would have recorded in previous periods if the accounting had been completed at the acquisition date. This pronouncement is effective for fiscal and interim periods beginning after December 15, 2015. Early adoption is permitted. The Company adopted this update effective with their interim period beginning June 28, 2015.</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2015, the FASB issued ASU 2015-11, “Simplifying the Measurement of Inventory.” This update requires the company to measure inventory using the lower of cost and net realizable value. Net realizable value is defined as the estimated selling price in the ordinary course of business, less reasonably predictable costs of completion, disposal and transportation. This ASU applies to companies measuring inventory using methods other than the last-in, first-out (LIFO) and retail inventory methods, including but not limited to the first-in, first-out (FIFO) or average costing methods. This pronouncement is effective for fiscal years and interim periods beginning after December 15, 2016. The adoption of this ASU is not expected to have a material impact on the Company’s consolidated financial statements.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jc w:val="both"/>
        <w:ind w:firstLine="648"/>
        <w:spacing w:after="0" w:line="271" w:lineRule="auto"/>
        <w:rPr>
          <w:sz w:val="20"/>
          <w:szCs w:val="20"/>
          <w:color w:val="auto"/>
        </w:rPr>
      </w:pPr>
      <w:r>
        <w:rPr>
          <w:rFonts w:ascii="Arial" w:cs="Arial" w:eastAsia="Arial" w:hAnsi="Arial"/>
          <w:sz w:val="17"/>
          <w:szCs w:val="17"/>
          <w:color w:val="auto"/>
        </w:rPr>
        <w:t>In April 2015, the FASB issued ASU No. 2015-04, “Compensation - Retirement Benefits: Practical Expedient for the Measurement Date of an Employer’s Defined Benefit Obligation and Plan Assets.” This ASU permits an entity with a fiscal year-end that does not coincide with a month-end, to measure defined benefit plan assets and obligations using the month end that is closest to the entity’s fiscal year-end and apply that consistently from year to year. The practical expedient requires if a contribution or significant event occurs between the month-end date used to measure the defined benefit plan assets and an entity’s fiscal year end, the entity should adjust the measurement of the defined benefit plan assets and obligations to reflect the effects of those contributions and other significant events. This pronouncement is effective for fiscal and interim periods beginning after December 15, 2015. The Company has elected to adopt this guidance for the fiscal year ended April 2, 2016. The respective assets and liabilities associated with the defined benefit plans have been valued as of March 31, 2016, with no material impact on the Company’s consolidated financial statements.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ASU No. 2015-03, “Interest - Imputation of Interest: Simplifying the Presentation of Debt Issuance Costs.” This ASU requires that debt issuance costs related to a recognized debt liability be presented in the balance sheet as a direct deduction from the carrying amount of that debt liability. This pronouncement is effective for fiscal and interim periods beginning after December 15, 2015. Early adoption is allowed. The Company adopted this pronouncement in the first quarter of fiscal 2016. Other than a different presentation within the balance sheet, the adoption of this ASU did not have a material impact on the Company’s financial statements.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the FASB issued ASU No. 2015-01, “Income Statement-Extraordinary and Unusual Items.” This update eliminates the concept of extraordinary items and removes the requirements to separately present extraordinary events. This ASU also requires additional disclosures for items that are both unusual in nature and infrequent in occurrence. This pronouncement is effective for fiscal years and interim periods beginning after December 15, 2015. The adoption of this ASU did not have a material impact on the Company’s consolidated financial statements.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2014, the FASB issued ASU No. 2014-15, “Presentation of Financial Statements-Going Concern.” This update requires management to evaluate whether there are conditions or events that raise substantial doubt about an entity’s ability to continue as a going concern, and requires related footnote disclosures. This pronouncement is effective for fiscal years and interim periods beginning after December 15, 2016. The adoption of this ASU is not expected to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Accumulated Other Comprehensive Income (Loss)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components of comprehensive income (loss) that relate to the Company are net income, foreign currency translation adjustments and pension plan and postretirement benefits, all of which are presented in the consolidated statements of stockholders' equity and comprehensive income (loss).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activity within each component of accumulated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Pension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Currency</w:t>
            </w:r>
          </w:p>
        </w:tc>
        <w:tc>
          <w:tcPr>
            <w:tcW w:w="1340" w:type="dxa"/>
            <w:vAlign w:val="bottom"/>
            <w:gridSpan w:val="4"/>
          </w:tcPr>
          <w:p>
            <w:pPr>
              <w:ind w:left="40"/>
              <w:spacing w:after="0"/>
              <w:rPr>
                <w:sz w:val="20"/>
                <w:szCs w:val="20"/>
                <w:color w:val="auto"/>
              </w:rPr>
            </w:pPr>
            <w:r>
              <w:rPr>
                <w:rFonts w:ascii="Arial" w:cs="Arial" w:eastAsia="Arial" w:hAnsi="Arial"/>
                <w:sz w:val="18"/>
                <w:szCs w:val="18"/>
                <w:b w:val="1"/>
                <w:bCs w:val="1"/>
                <w:color w:val="auto"/>
              </w:rPr>
              <w:t>Postretirement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Translation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2, 2016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4"/>
              </w:rPr>
              <w:t>Other comprehensive income (loss) before reclassifications (net of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1"/>
              </w:rPr>
              <w:t>Amounts reclassified from accumulated other comprehensive income (loss)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 2016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66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Net Income Per Common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net income per common share is computed by dividing net income available to common stockholders by the weighted-average number of common shares outstanding.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Diluted net income per common share is computed by dividing net income by the sum of the weighted-average number of common shares and dilutive common share equivalents then outstanding using the treasury stock method. Common share equivalents consist of the incremental common shares issuable upon the exercise of stock options.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reflects the calculation of weighted-average shares outstanding for each period presented as well as the computation of basic and diluted net income per common share: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July 2,</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1"/>
              </w:rPr>
              <w:t>June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1"/>
              </w:rPr>
              <w:t>Denominator for basic net income per common share—weighted-average shares outstanding</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23,320,579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23,162,560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dilution due to employee stock awards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373,804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Denominator for diluted net income per common share — weighted-average shares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23,626,751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23,536,364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July 2, 2016, 217,250 employee stock options have been excluded from the calculation of diluted earnings per share. At June 27, 2015, 190,250 employee stock options have been excluded from the calculation of diluted earnings per share. The inclusion of these employee stock options and unvested restricted shares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if any, are comprised of equity securities and are measured at fair value by using quoted prices in active markets and are classified as Level 1 of the valuation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Inventories are stated at the lower of cost or market, using the first-in, first-out method, and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4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36,632</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73,761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169,989</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170,144</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284,341</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280,537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320" w:type="dxa"/>
            <w:vAlign w:val="bottom"/>
            <w:vMerge w:val="restart"/>
          </w:tcPr>
          <w:p>
            <w:pPr>
              <w:jc w:val="right"/>
              <w:ind w:right="225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Engineered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Roller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Plain</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Ball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Products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April 2, 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77,211</w:t>
            </w:r>
          </w:p>
        </w:tc>
        <w:tc>
          <w:tcPr>
            <w:tcW w:w="5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Acquisition and valuation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July 2, 2016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79,597</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July 2, 2016</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April 2, 2016</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Useful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Lives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approvals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Customer relationships and lists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Distributor agreements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Domain names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194,074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198,717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Non-amortizable repair station certifications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228,274</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24,380</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229,417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Amortization expense for definite-lived intangible assets for the three periods ended July 2, 2016 and June 27, 2015 was $2,213 and $1,768, respectively. Estimated amortization expense for the remaining nine months of fiscal 2017, the five succeeding fiscal years and thereafter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57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9,369</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2020</w:t>
            </w:r>
          </w:p>
        </w:tc>
        <w:tc>
          <w:tcPr>
            <w:tcW w:w="57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8,988</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2022</w:t>
            </w:r>
          </w:p>
        </w:tc>
        <w:tc>
          <w:tcPr>
            <w:tcW w:w="57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8,873</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57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117,181</w:t>
            </w:r>
          </w:p>
        </w:tc>
        <w:tc>
          <w:tcPr>
            <w:tcW w:w="860" w:type="dxa"/>
            <w:vAlign w:val="bottom"/>
          </w:tcPr>
          <w:p>
            <w:pPr>
              <w:spacing w:after="0"/>
              <w:rPr>
                <w:sz w:val="18"/>
                <w:szCs w:val="18"/>
                <w:color w:val="auto"/>
              </w:rPr>
            </w:pPr>
          </w:p>
        </w:tc>
      </w:tr>
      <w:tr>
        <w:trPr>
          <w:trHeight w:val="540"/>
        </w:trPr>
        <w:tc>
          <w:tcPr>
            <w:tcW w:w="8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381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6. Debt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tcPr>
          <w:p>
            <w:pPr>
              <w:ind w:left="660"/>
              <w:spacing w:after="0"/>
              <w:rPr>
                <w:sz w:val="20"/>
                <w:szCs w:val="20"/>
                <w:color w:val="auto"/>
              </w:rPr>
            </w:pPr>
            <w:r>
              <w:rPr>
                <w:rFonts w:ascii="Arial" w:cs="Arial" w:eastAsia="Arial" w:hAnsi="Arial"/>
                <w:sz w:val="18"/>
                <w:szCs w:val="18"/>
                <w:color w:val="auto"/>
              </w:rPr>
              <w:t>The balances payable under all borrowing facilities are as follows: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April 2,</w:t>
            </w:r>
          </w:p>
        </w:tc>
      </w:tr>
      <w:tr>
        <w:trPr>
          <w:trHeight w:val="234"/>
        </w:trPr>
        <w:tc>
          <w:tcPr>
            <w:tcW w:w="8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Revolver and term loan facilities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(5,816)</w:t>
            </w: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8,012</w:t>
            </w:r>
          </w:p>
        </w:tc>
        <w:tc>
          <w:tcPr>
            <w:tcW w:w="80" w:type="dxa"/>
            <w:vAlign w:val="bottom"/>
            <w:shd w:val="clear" w:color="auto" w:fill="CCEEFF"/>
          </w:tcPr>
          <w:p>
            <w:pPr>
              <w:spacing w:after="0"/>
              <w:rPr>
                <w:sz w:val="19"/>
                <w:szCs w:val="19"/>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10,486</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Facility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connection with the Sargent Aerospace &amp; Defense (“Sargent”) acquisition on April 24, 2015, the Company entered into the credit agreement and related Guarantee, Pledge Agreement and Security Agreement with Wells Fargo Bank, National Association, as Administrative Agent, Collateral Agent, Swingline Lender and Letter of Credit Issuer and the other lenders party thereto and terminated the JP Morgan Credit Agreement. The Credit Agreement provides RBCA, as Borrower, with (a) a $200,000 Term Loan and (b) a $350,000 Revolver and together with the Term Loan ( the “Facilities”).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Amounts outstanding under the Facilities generally bear interest at (a) a base rate determined by reference to the higher of (1) Wells Fargo’s prime lending rate, (2) the federal funds effective rate plus 1/2 of 1% and (3) the one-month LIBOR rate plus 1% or (b) LIBOR rate plus a specified margin, depending on the type of borrowing being made. The applicable margin is based on the Company's consolidated ratio of total net debt to consolidated EBITDA from time to time. Currently, the Company's margin is 0.5% for base rate loans and 1.5% for LIBOR rate loans. As of July 2, 2016, there was $151,500 outstanding under the Revolver and $190,000 outstanding under the Term Loan, offset by $5,460 in debt issuance costs (original amount was $7,122).</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requires the Company to comply with various covenants, including among other things, financial covenants to maintain the following: (1) a ratio of consolidated net debt to adjusted EBITDA, not to exceed 3.50 to 1; and (2) a consolidated interest coverage ratio not to exceed 2.75 to 1. The Credit Agreement allows the Company to, among other things, make distributions to shareholders, repurchase its stock, incur other debt or liens, or acquire or dispose of assets provided that the Company complies with certain requirements and limitations of the agreement. As of July 2, 2016, the Company was in compliance with all such covenants.</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Company’s obligations under the Credit Agreement are secured as well as providing for a pledge of substantially all of the Company’s and RBCA’s assets. The Company and certain of its subsidiaries have also entered into a Guarantee to guarantee RBCA’s obligations under the Credit Agreement.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$3,490 of the Revolver is being utilized to provide letters of credit to secure RBCA’s obligations relating to certain insurance programs. As of July 2, 2016, RBCA has the ability to borrow up to an additional $195,210 under the Revolver.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Notes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 2012, Schaublin purchased the land and building, which it occupied and had been leasing, for 14,067 CHF (approximately $14,910).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Schaublin obtained a 20 year fixed rate mortgage of 9,300 CHF (approximately $9,857) at an interest rate of 2.9%. The balance of the purchase price of 4,767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CHF (approximately $5,053) was paid from cash on hand. The balance on this mortgage as of July 2, 2016 was 7,556 CHF, or $7,768.</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With few exceptions, the Company is no longer subject to state or foreign income tax examinations by tax authorities for years ending before March 31, 2007. The Company is no longer subject to U.S. federal corporate income tax examination by the Internal Revenue Service for fiscal years ending before March 29, 2014. A U.S. federal corporate income tax examination by the Internal Revenue Service for the fiscal year ended March 30, 2013 was deemed effectively settled in the Company’s first quarter of fiscal 2016.</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 income tax rates for the three month periods ended July 2, 2016 and June 27, 2015, were 32.7% and 33.1%. In addition to discrete items, the effective income tax rates for these periods are different from the U.S. statutory rates due to a special manufacturing deduction in the U.S. and foreign income taxed at lower rates which decrease the rate, and state income taxes which increases the rate.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effective income tax rate for the three month period ended July 2, 2016 of 32.7% includes discrete items of $215 primarily comprised of items associated with the release of unrecognized tax positions associated with statute of limitations expiration. The effective income tax rate without discrete items for the three month period ended July 2, 2016 would have been 33.5%. The effective income tax rate for the three month period ended June 27, 2015 of 33.1% includes immaterial discrete items of $101. The effective income tax rate without discrete items for the three month period ended June 27, 2015 would have been 33.6%. The Company believes it is reasonably possible that some of its unrecognized tax positions may be effectively settled within the next twelve months due to the closing of audits and the statute of limitations expiring in varying jurisdictions. The decrease, pertaining primarily to credits and state tax, is estimated to be approximately $142.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Reportable Segments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through operating segments for which separate financial information is available, and for which operating results are evaluated regularly by the Company's chief operating decision maker in determining resource allocation and assessing performance. Those operating segments with similar economic characteristics and that meet all other required criteria, including nature of the products and production processes, distribution patterns and classes of customers, are aggregated as reportable segments.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four reportable business segments; Plain Bearings, Roller Bearings, Ball Bearings and Engineered Products, which are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Plain Bearings. </w:t>
      </w:r>
      <w:r>
        <w:rPr>
          <w:rFonts w:ascii="Arial" w:cs="Arial" w:eastAsia="Arial" w:hAnsi="Arial"/>
          <w:sz w:val="16"/>
          <w:szCs w:val="16"/>
          <w:color w:val="auto"/>
        </w:rPr>
        <w:t>Plain bearings are produced with either self-lubricating or metal-to-metal designs and consists of several sub-classes, including rod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bearings, spherical plain bearings and journal bearings. Unlike ball bearings, which are used in high-speed rotational applications, plain bearings are primarily used to rectify inevitable misalignments in various mechanical components. The bearings and rings businesses of Sargent are included here.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Roller Bearings. </w:t>
      </w:r>
      <w:r>
        <w:rPr>
          <w:rFonts w:ascii="Arial" w:cs="Arial" w:eastAsia="Arial" w:hAnsi="Arial"/>
          <w:sz w:val="18"/>
          <w:szCs w:val="18"/>
          <w:color w:val="auto"/>
        </w:rPr>
        <w:t>Roller bearings are anti-friction bearings that use rollers instead of balls. The Company manufactures four basic types of roller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heavy duty needle roller bearings with inner rings, tapered roller bearings, track rollers and aircraft roller bearings.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Ball Bearings. </w:t>
      </w:r>
      <w:r>
        <w:rPr>
          <w:rFonts w:ascii="Arial" w:cs="Arial" w:eastAsia="Arial" w:hAnsi="Arial"/>
          <w:sz w:val="18"/>
          <w:szCs w:val="18"/>
          <w:color w:val="auto"/>
        </w:rPr>
        <w:t>The Company manufactures four basic types of ball bearings: high precision aerospace, airframe control, thin section and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ball bearings which are used in high-speed rotational applications.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Engineered Products. </w:t>
      </w:r>
      <w:r>
        <w:rPr>
          <w:rFonts w:ascii="Arial" w:cs="Arial" w:eastAsia="Arial" w:hAnsi="Arial"/>
          <w:sz w:val="17"/>
          <w:szCs w:val="17"/>
          <w:color w:val="auto"/>
        </w:rPr>
        <w:t>Engineered Products consists of highly engineered hydraulics, fasteners, collets and precision components used in aerospace,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marine and industrial applications. The hydraulics, fasteners and precision components businesses of Sargent are included here.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ind w:firstLine="648"/>
        <w:spacing w:after="0" w:line="277" w:lineRule="auto"/>
        <w:rPr>
          <w:sz w:val="20"/>
          <w:szCs w:val="20"/>
          <w:color w:val="auto"/>
        </w:rPr>
      </w:pPr>
      <w:r>
        <w:rPr>
          <w:rFonts w:ascii="Arial" w:cs="Arial" w:eastAsia="Arial" w:hAnsi="Arial"/>
          <w:sz w:val="18"/>
          <w:szCs w:val="18"/>
          <w:color w:val="auto"/>
        </w:rPr>
        <w:t>Segment performance is evaluated based on segment net sales and operating income. Items not allocated to segment operating income include corporate administrative expenses and certain other amounts.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2,</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June 27,</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External Sales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Plain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70,450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13,710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42,585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33,232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154,579</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142,308</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Margin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Plain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26,554</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57,251</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52,764</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Selling, General &amp; Administrative Expenses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Plain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5,990</w:t>
            </w:r>
          </w:p>
        </w:tc>
        <w:tc>
          <w:tcPr>
            <w:tcW w:w="1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Plain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19,763</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Roller</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Engineered Products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29,221</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Geographic External Sales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135,177</w:t>
            </w:r>
          </w:p>
        </w:tc>
        <w:tc>
          <w:tcPr>
            <w:tcW w:w="1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154,579</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142,308</w:t>
            </w: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Intersegment Sales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Plain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Ball</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Engineered Products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intersegment sales are eliminated in consolidation.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Acquisitions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24, 2015, the Company acquired Sargent from Dover Corporation for $500,000 financed through a combination of cash on hand and senior debt. With headquarters in Tucson, Arizona, Sargent is a leader in precision-engineered products, solutions and repairs for aircraft airframes and engines, rotorcraft, submarines and land vehicles. Sargent manufactures, sells and services hydraulic valves and actuators, specialty bearings, specialty fasteners, seal rings &amp; alignment joints and engineered components under leading brands including Kahr Bearing, Airtomic, Sonic Industries, Sargent Controls and Sargent Aerospace &amp; Defense. The Company acquired Sargent because management believes it provides complementary products and channels, and expands and enhances the Company’s product portfolio and engineering technologies. The bearings and rings businesses are included in the Plain Bearings segment. The hydraulics, fasteners and precision components businesses are included in the Engineered Products segment.</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acquisition of Sargent was accounted for as a purchase in accordance with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Assets acquired and liabilities assumed were recorded at their fair values as of the acquisition date. The fair values of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which were primarily customer relationships, product approvals, trade names, and patents and trademarks, were based on valuations using the income approach. The excess of the purchase price over the estimated fair values of tangible assets, identifiable intangible assets and assumed liabilities was recorded as goodwill. The goodwill is attributable to expected synergies and expected growth opportunities. The purchase price allocation resulted in goodwill of $224,715. The Company estimates a majority of goodwill will be deductible for United States income tax purposes.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The purchase price allocation for Sargent was as follows: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0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b w:val="1"/>
                <w:bCs w:val="1"/>
                <w:color w:val="auto"/>
              </w:rPr>
              <w:t>As of</w:t>
            </w:r>
          </w:p>
        </w:tc>
      </w:tr>
      <w:tr>
        <w:trPr>
          <w:trHeight w:val="234"/>
        </w:trPr>
        <w:tc>
          <w:tcPr>
            <w:tcW w:w="10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Arial" w:cs="Arial" w:eastAsia="Arial" w:hAnsi="Arial"/>
                <w:sz w:val="18"/>
                <w:szCs w:val="18"/>
                <w:b w:val="1"/>
                <w:bCs w:val="1"/>
                <w:color w:val="auto"/>
                <w:w w:val="96"/>
              </w:rPr>
              <w:t>April 24, 2015</w:t>
            </w:r>
          </w:p>
        </w:tc>
      </w:tr>
      <w:tr>
        <w:trPr>
          <w:trHeight w:val="210"/>
        </w:trPr>
        <w:tc>
          <w:tcPr>
            <w:tcW w:w="106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Trade receivables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24,100</w:t>
            </w:r>
          </w:p>
        </w:tc>
        <w:tc>
          <w:tcPr>
            <w:tcW w:w="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49,245</w:t>
            </w:r>
          </w:p>
        </w:tc>
        <w:tc>
          <w:tcPr>
            <w:tcW w:w="4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39,907</w:t>
            </w:r>
          </w:p>
        </w:tc>
        <w:tc>
          <w:tcPr>
            <w:tcW w:w="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202,500</w:t>
            </w:r>
          </w:p>
        </w:tc>
        <w:tc>
          <w:tcPr>
            <w:tcW w:w="40" w:type="dxa"/>
            <w:vAlign w:val="bottom"/>
            <w:shd w:val="clear" w:color="auto" w:fill="CCEEFF"/>
          </w:tcPr>
          <w:p>
            <w:pPr>
              <w:spacing w:after="0"/>
              <w:rPr>
                <w:sz w:val="18"/>
                <w:szCs w:val="18"/>
                <w:color w:val="auto"/>
              </w:rPr>
            </w:pPr>
          </w:p>
        </w:tc>
      </w:tr>
      <w:tr>
        <w:trPr>
          <w:trHeight w:val="230"/>
        </w:trPr>
        <w:tc>
          <w:tcPr>
            <w:tcW w:w="10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224,715</w:t>
            </w:r>
          </w:p>
        </w:tc>
        <w:tc>
          <w:tcPr>
            <w:tcW w:w="4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543,553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14,900</w:t>
            </w:r>
          </w:p>
        </w:tc>
        <w:tc>
          <w:tcPr>
            <w:tcW w:w="40" w:type="dxa"/>
            <w:vAlign w:val="bottom"/>
          </w:tcPr>
          <w:p>
            <w:pPr>
              <w:spacing w:after="0"/>
              <w:rPr>
                <w:sz w:val="18"/>
                <w:szCs w:val="18"/>
                <w:color w:val="auto"/>
              </w:rPr>
            </w:pPr>
          </w:p>
        </w:tc>
      </w:tr>
      <w:tr>
        <w:trPr>
          <w:trHeight w:val="230"/>
        </w:trPr>
        <w:tc>
          <w:tcPr>
            <w:tcW w:w="106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28,653</w:t>
            </w:r>
          </w:p>
        </w:tc>
        <w:tc>
          <w:tcPr>
            <w:tcW w:w="40" w:type="dxa"/>
            <w:vAlign w:val="bottom"/>
            <w:shd w:val="clear" w:color="auto" w:fill="CCEEFF"/>
          </w:tcPr>
          <w:p>
            <w:pPr>
              <w:spacing w:after="0"/>
              <w:rPr>
                <w:sz w:val="19"/>
                <w:szCs w:val="19"/>
                <w:color w:val="auto"/>
              </w:rPr>
            </w:pPr>
          </w:p>
        </w:tc>
      </w:tr>
      <w:tr>
        <w:trPr>
          <w:trHeight w:val="223"/>
        </w:trPr>
        <w:tc>
          <w:tcPr>
            <w:tcW w:w="10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valuation of the net assets acquired of $500,000 was classified as Level 3 in the valuation hierarchy. Level 3 inputs represent unobservable inputs for the asset or liability.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intangible assets included as part of the Sargent acquisition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76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2"/>
              </w:rPr>
              <w:t>Amortization Period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Gross Value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31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4760" w:type="dxa"/>
            <w:vAlign w:val="bottom"/>
            <w:gridSpan w:val="2"/>
          </w:tcPr>
          <w:p>
            <w:pPr>
              <w:jc w:val="center"/>
              <w:ind w:left="3210"/>
              <w:spacing w:after="0"/>
              <w:rPr>
                <w:sz w:val="20"/>
                <w:szCs w:val="20"/>
                <w:color w:val="auto"/>
              </w:rPr>
            </w:pPr>
            <w:r>
              <w:rPr>
                <w:rFonts w:ascii="Arial" w:cs="Arial" w:eastAsia="Arial" w:hAnsi="Arial"/>
                <w:sz w:val="18"/>
                <w:szCs w:val="18"/>
                <w:color w:val="auto"/>
                <w:w w:val="89"/>
              </w:rPr>
              <w:t>25</w:t>
            </w:r>
          </w:p>
        </w:tc>
        <w:tc>
          <w:tcPr>
            <w:tcW w:w="46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99,800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approvals</w:t>
            </w:r>
          </w:p>
        </w:tc>
        <w:tc>
          <w:tcPr>
            <w:tcW w:w="4760" w:type="dxa"/>
            <w:vAlign w:val="bottom"/>
            <w:gridSpan w:val="2"/>
            <w:shd w:val="clear" w:color="auto" w:fill="CCEEFF"/>
          </w:tcPr>
          <w:p>
            <w:pPr>
              <w:jc w:val="center"/>
              <w:ind w:left="3210"/>
              <w:spacing w:after="0"/>
              <w:rPr>
                <w:sz w:val="20"/>
                <w:szCs w:val="20"/>
                <w:color w:val="auto"/>
              </w:rPr>
            </w:pPr>
            <w:r>
              <w:rPr>
                <w:rFonts w:ascii="Arial" w:cs="Arial" w:eastAsia="Arial" w:hAnsi="Arial"/>
                <w:sz w:val="18"/>
                <w:szCs w:val="18"/>
                <w:color w:val="auto"/>
                <w:w w:val="89"/>
              </w:rPr>
              <w:t>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Trademarks and tradenames</w:t>
            </w:r>
          </w:p>
        </w:tc>
        <w:tc>
          <w:tcPr>
            <w:tcW w:w="4760" w:type="dxa"/>
            <w:vAlign w:val="bottom"/>
            <w:tcBorders>
              <w:bottom w:val="single" w:sz="8" w:color="CCEEFF"/>
            </w:tcBorders>
            <w:gridSpan w:val="2"/>
          </w:tcPr>
          <w:p>
            <w:pPr>
              <w:jc w:val="center"/>
              <w:ind w:left="3210"/>
              <w:spacing w:after="0"/>
              <w:rPr>
                <w:sz w:val="20"/>
                <w:szCs w:val="20"/>
                <w:color w:val="auto"/>
              </w:rPr>
            </w:pPr>
            <w:r>
              <w:rPr>
                <w:rFonts w:ascii="Arial" w:cs="Arial" w:eastAsia="Arial" w:hAnsi="Arial"/>
                <w:sz w:val="18"/>
                <w:szCs w:val="18"/>
                <w:color w:val="auto"/>
                <w:w w:val="89"/>
              </w:rPr>
              <w:t>10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Non-amortizable intangible assets</w:t>
            </w:r>
          </w:p>
        </w:tc>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Repair station certifications</w:t>
            </w:r>
          </w:p>
        </w:tc>
        <w:tc>
          <w:tcPr>
            <w:tcW w:w="4760" w:type="dxa"/>
            <w:vAlign w:val="bottom"/>
            <w:gridSpan w:val="2"/>
            <w:shd w:val="clear" w:color="auto" w:fill="CCEEFF"/>
          </w:tcPr>
          <w:p>
            <w:pPr>
              <w:jc w:val="center"/>
              <w:ind w:left="32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Intangible assets</w:t>
            </w:r>
          </w:p>
        </w:tc>
        <w:tc>
          <w:tcPr>
            <w:tcW w:w="3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vMerge w:val="restart"/>
          </w:tcPr>
          <w:p>
            <w:pPr>
              <w:jc w:val="right"/>
              <w:ind w:right="1750"/>
              <w:spacing w:after="0"/>
              <w:rPr>
                <w:sz w:val="20"/>
                <w:szCs w:val="20"/>
                <w:color w:val="auto"/>
              </w:rPr>
            </w:pPr>
            <w:r>
              <w:rPr>
                <w:rFonts w:ascii="Arial" w:cs="Arial" w:eastAsia="Arial" w:hAnsi="Arial"/>
                <w:sz w:val="18"/>
                <w:szCs w:val="18"/>
                <w:color w:val="auto"/>
              </w:rPr>
              <w:t>15</w:t>
            </w: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Included in the Company’s results of operations for the three months ended July 2, 2016 and June 27, 2015 are revenues related to the Sargent acquisition of $45,536 and $34,003. Also, included for the three months ended July 2, 2016 and June 27, 2015 is net income of $3,332 and $3,825. Acquisition-related expenses were recorded in Other, net in the Consolidated Statements of Operations for the three months ended July 2, 2016 and June 27, 2015 of $0 and $4,788, respectively.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supplemental pro forma financial information presents the financial results for the three months ended July 2, 2016 and June 27, 2015, as if the acquisition of Sargent had occurred at the beginning of fiscal year 2015. The pro forma financial information includes, where applicable, adjustments for: (i) the estimated amortization of acquired intangible assets, (ii) estimated additional interest expense on acquisition related borrowings, (iii) the income tax effect on the pro forma adjustments using an estimated effective tax rate. The pro forma financial information excludes, where applicable, adjustments for:</w:t>
      </w:r>
    </w:p>
    <w:p>
      <w:pPr>
        <w:spacing w:after="0" w:line="2" w:lineRule="exact"/>
        <w:rPr>
          <w:sz w:val="20"/>
          <w:szCs w:val="20"/>
          <w:color w:val="auto"/>
        </w:rPr>
      </w:pPr>
    </w:p>
    <w:p>
      <w:pPr>
        <w:jc w:val="both"/>
        <w:ind w:firstLine="8"/>
        <w:spacing w:after="0" w:line="255" w:lineRule="auto"/>
        <w:tabs>
          <w:tab w:leader="none" w:pos="24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estimated impact of inventory purchase accounting adjustments and (ii) the estimated closing costs on the acquisition. The pro forma financial information is presented for illustrative purposes only and is not necessarily indicative of the operating results that would have been achieved had the acquisition been completed as of the date indicated or the results that may be obtained in the future:</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July 2,</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sales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 forma net income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earnings per share as reported</w:t>
            </w:r>
          </w:p>
        </w:tc>
        <w:tc>
          <w:tcPr>
            <w:tcW w:w="2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2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As To Forward-Looking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in this discussion contains “forward-looking statements” within the meaning of Section 27A of the Securities Act of 1933 and Section 21E of the Securities Exchange Act of 1934 which are subject to the “safe harbor” created by those sections. All statements other than statements of historical facts, included in this quarterly report on Form 10-Q regarding our strategy, future operations, future financial position, future revenues, projected costs, prospects and plans and objectives of management are “forward-looking statements” as the term is defined in the Private Securities Litigation Reform Act of 1995.</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jc w:val="both"/>
        <w:ind w:firstLine="648"/>
        <w:spacing w:after="0" w:line="283" w:lineRule="auto"/>
        <w:rPr>
          <w:sz w:val="20"/>
          <w:szCs w:val="20"/>
          <w:color w:val="auto"/>
        </w:rPr>
      </w:pPr>
      <w:r>
        <w:rPr>
          <w:rFonts w:ascii="Arial" w:cs="Arial" w:eastAsia="Arial" w:hAnsi="Arial"/>
          <w:sz w:val="16"/>
          <w:szCs w:val="16"/>
          <w:color w:val="auto"/>
        </w:rPr>
        <w:t>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(a) the bearing and engineered products industries are highly competitive, and this competition could reduce our profitability or limit our ability to grow; (b) the loss of a major customer could result in a material reduction in our revenues and profitability; (c) weakness in any of the industries in which our customers operate, as well as the cyclical nature of our customers’ businesses generally, could materially reduce our revenues and profitability; (d) future reductions or changes in U.S. government spending could negatively affect our business; (e) fluctuating or interruption to supply, and availability of raw materials, components and energy resources could materially increase our costs or reduce our revenues, cash flow from operations and profitability; (f) our products are subject to certain approvals, and the loss of such approvals could materially reduce our revenues and profitability; (g) restrictions in our indebtedness agreements could limit our growth and our ability to respond to changing conditions; (h) work stoppages and other labor problems could materially reduce our ability to operate our business; (i) our business is capital intensive and may consume cash in excess of cash flow from our operations; (j) unexpected equipment failures, catastrophic events or capacity constraints may increase our costs and reduce our sales due to production curtailments or shutdowns; (k) we may not be able to continue to make the acquisitions necessary for us to realize our growth strategy; (l) the costs and difficulties of integrating acquired businesses could impede our future growth; (m) we depend heavily on our senior management and other key personnel, the loss of whom could materially affect our financial performance and prospects; (n) our international operations are subject to risks inherent in such activities; (o) currency translation risks may have a material impact on our results of operations; (p) we may be required to make significant future contributions to our pension plan; (q) we may incur material losses for product liability and recall related claims; (r) environmental regulations impose substantial costs and limitations on our operations, and environmental compliance may be more costly than we expect; (s) our intellectual property and other proprietary rights are valuable, and any inability to protect them could adversely affect our business and results of operations; in addition, we may be subject to infringement claims by third parties; (t) cancellation of orders in our backlog of orders could negatively impact our revenues; (u) if we fail to maintain an effective system of internal controls, we may not be able to accurately report our financial results or prevent fraud; (v) provisions in our charter documents may prevent or hinder efforts to acquire a controlling interest in us; (w) health care reform could adversely affect our operating results; and (x) we may not pay cash dividends in the foreseeable future; (y) retirement of commercial aircraft could reduce our revenues, and (z) we may not achieve satisfactory operating results in the integration of acquired companies. Additional information regarding these and other risks and uncertainties is contained in our periodic filings with the SEC, including, without limitation, the risks identified under the heading “Risk Factors” set forth in the Annual Report on Form 10-K for the year ended April 2, 2016. Our forward-looking statements do not reflect the potential impact of any future acquisitions, mergers, dispositions, joint ventures or investments we may make. We do not intend, and undertake no obligation, to update or alter any forward-looking statement. The following section is qualified in its entirety by the more detailed information, including our financial statements and the notes thereto, which appears elsewhere in this Quarterly Report.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well-known international manufacturer and maker of highly engineered precision bearings and components.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bearings categories, we focus primarily on the higher end of the bearing and engineered component markets where we believe our value added manufacturing and engineering capabilities enable us to differentiate ourselves from our competitors and enhance profitability. We believe our unique expertise has enabled us to garner leading positions in many of the product markets in which we primarily compete. With 37 facilities, of which 33 are manufacturing facilities in five countries, we have been able to significantly broaden our end markets, products, customer base and geographic reach. We currently operate under four reportable business segments: Plain Bearings; Roller Bearings; Ball Bearings; and Engineered Products. The following further describes these reportable segments: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Plain Bearings. </w:t>
      </w:r>
      <w:r>
        <w:rPr>
          <w:rFonts w:ascii="Arial" w:cs="Arial" w:eastAsia="Arial" w:hAnsi="Arial"/>
          <w:sz w:val="18"/>
          <w:szCs w:val="18"/>
          <w:color w:val="auto"/>
        </w:rPr>
        <w:t>Plain bearings are produced with either self-lubricating or metal-to-metal designs and consists of several sub-classes, including rod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bearings, spherical plain bearings and journal bearings. Unlike ball bearings, which are used in high-speed rotational applications, plain bearings are primarily used to rectify inevitable misalignments in various mechanical components.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Roller Bearings. </w:t>
      </w:r>
      <w:r>
        <w:rPr>
          <w:rFonts w:ascii="Arial" w:cs="Arial" w:eastAsia="Arial" w:hAnsi="Arial"/>
          <w:sz w:val="18"/>
          <w:szCs w:val="18"/>
          <w:color w:val="auto"/>
        </w:rPr>
        <w:t>Roller bearings are anti-friction bearings that use rollers instead of balls. We manufacture four basic types of roller bearings: heavy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duty needle roller bearings with inner rings, tapered roller bearings, track rollers and aircraft roller bearings.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Ball Bearings</w:t>
      </w:r>
      <w:r>
        <w:rPr>
          <w:rFonts w:ascii="Arial" w:cs="Arial" w:eastAsia="Arial" w:hAnsi="Arial"/>
          <w:sz w:val="18"/>
          <w:szCs w:val="18"/>
          <w:color w:val="auto"/>
        </w:rPr>
        <w:t>. We manufacture four basic types of ball bearings: high precision aerospace, airframe control, thin section and commercial ball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bearings which are used in high-speed rotational applications.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Engineered Products. </w:t>
      </w:r>
      <w:r>
        <w:rPr>
          <w:rFonts w:ascii="Arial" w:cs="Arial" w:eastAsia="Arial" w:hAnsi="Arial"/>
          <w:sz w:val="18"/>
          <w:szCs w:val="18"/>
          <w:color w:val="auto"/>
        </w:rPr>
        <w:t>Engineered Products consists of highly engineered hydraulics, fasteners, collets and precision components used in aerospace,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marine and industrial applications.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color w:val="auto"/>
        </w:rPr>
        <w:t>Purchasers of bearings and engineered products include industrial equipment and machinery manufacturers, producers of commercial and military aerospace equipment such as missiles and radar systems, agricultural machinery manufacturers, construction, energy, mining, marine and specialized equipment manufacturers, marine products, automotive and commercial truck manufacturers. The markets for our products are cyclical, and we have endeavored to mitigate this cyclicality by entering into sole-source relationships and long-term purchase agreements, through diversification across multiple market segments within the aerospace and defense and diversified industrial segments, by increasing sales to the aftermarket and by focusing on developing highly customized solutions.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our strategy is built around maintaining our role as a leading manufacturer of precision engineered bearings and components through the following efforts:</w:t>
      </w:r>
    </w:p>
    <w:p>
      <w:pPr>
        <w:spacing w:after="0" w:line="166"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Developing innovative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leveraging our design and manufacturing expertise and our extensive customer relationships, we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new products for markets in which there are substantial growth opportunities.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Expanding customer base and penetrating end markets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seek opportunities to access new customers, geographic locations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bearing platforms with existing products or profitable new product opportunities.</w:t>
      </w:r>
    </w:p>
    <w:p>
      <w:pPr>
        <w:spacing w:after="0" w:line="16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aftermarket sales. </w:t>
      </w:r>
      <w:r>
        <w:rPr>
          <w:rFonts w:ascii="Arial" w:cs="Arial" w:eastAsia="Arial" w:hAnsi="Arial"/>
          <w:sz w:val="18"/>
          <w:szCs w:val="18"/>
          <w:color w:val="auto"/>
        </w:rPr>
        <w:t>We believe that increasing our aftermarket sales of replacement parts will further enhance the continuity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predictability of our revenues and enhance our profitability. Such sales included sales to third party distributors and sales to OEMs for replacement products and aftermarket services. We will increase the percentage of our revenues derived from the replacement market by continuing to implement several initiatives.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Pursuing selective acquisitions. </w:t>
      </w:r>
      <w:r>
        <w:rPr>
          <w:rFonts w:ascii="Arial" w:cs="Arial" w:eastAsia="Arial" w:hAnsi="Arial"/>
          <w:sz w:val="18"/>
          <w:szCs w:val="18"/>
          <w:color w:val="auto"/>
        </w:rPr>
        <w:t>The acquisition of businesses that complement or expand our operations has been and continues to be an important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element of our business strategy. We believe that there will continue to be consolidation within the industry that may present us with acquisition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highlight the most recent significant events: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first quarter of fiscal 2016, we acquired Sargent for $500.0 million financed through a combination of cash on hand and senior debt. Headquartered in Tucson, Arizona, Sargent is a leader in precision-engineered products, solutions and repairs for aircraft airframes and engines, rotorcraft, submarines and land vehicles. Sargent manufactures, sells and services hydraulic valves and actuators, specialty bearings, specialty fasteners, seal rings &amp; alignment joints and precision components under leading brands including Kahr Bearing, Airtomic, Sonic Industries, Sargent Controls and Sargent Aerospace &amp; Defense. Annual sales are approximately $195.0 million and the company has over 750 employees in six facilities in three countries.</w:t>
      </w:r>
    </w:p>
    <w:p>
      <w:pPr>
        <w:spacing w:after="0" w:line="19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Sargent acquisition on April 24, 2015, we entered into a Credit Agreement (the “Credit Agreement”) and related Guarantee, Pledge Agreement and Security Agreement with Wells Fargo Bank, National Association, as Administrative Agent, Collateral Agent, Swingline Lender and Letter of Credit Issuer and the other lenders party thereto. The Credit Agreement provides RBCA, as Borrower, with (a) a $200.0 million term loan facility (the “Term Loan Facility”) and (b) a $350.0 million revolving credit facility (the “Revolving Credit Facility” and together with the Term Loan Facility, the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net sales for the three month period ended July 2, 2016 increased 8.6% compared to the same period last fiscal year. Our aerospace markets increased 11.8% and the industrial markets increased 3.1%. Our backlog, as of July 2, 2016, was $352.6 million compared to $340.8 million as of June 27, 2015.</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Management believes that operating cash flows and available credit under the credit facilities will provide adequate resources to fund internal and external growth initiatives for the foreseeable future. As of July 2, 2016, we had cash and cash equivalents of $37.3 million of which approximately $31.1 million was cash held by our foreign operations. We expect that our undistributed foreign earnings will be re-invested indefinitely for working capital, internal growth and acquisitions for and by our foreign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July 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7"/>
              </w:rPr>
              <w:t>June 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 Change</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diluted</w:t>
            </w:r>
          </w:p>
        </w:tc>
        <w:tc>
          <w:tcPr>
            <w:tcW w:w="12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Weighted average common shares: diluted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23,626,751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23,536,364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net sales for the three month period ended July 2, 2016 increased 8.6% compared to the same period last fiscal year. The increase in net sales was a result of an 11.8% increase in our aerospace markets and a 3.1% increase in the industrial markets. Organic net sales increased 2.6% compared to last year. Our aerospace markets increased 2.9% and the industrial markets increased 2.1%. The increase in aerospace sales was mainly due to the commercial aerospace OEM and aftermarket and partly offset by lower defense activity. The increase in industrial sales was mostly driven by marine activity, partly offset by energy and distribution.</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income for the first quarter of fiscal 2017 was $18.0 million compared to $13.4 million for the same period last year. Excluding the after tax impact of $0.3 million in costs associated with the acquisition offset by $0.2 million of discrete tax benefit, net income would have been $18.1 million. Excluding the after tax impact of $2.8 million in costs associated with the Sargent acquisition, $1.6 million in inventory purchases accounting associated with the Sargent acquisition, $0.5 million of costs associated with integration and restructuring, $0.3 million of unfavorable foreign exchange translation, and offset by $0.1 million of discrete tax benefits, net income for the first quarter of fiscal 2016 would have been $18.5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July 2,</w:t>
            </w:r>
          </w:p>
        </w:tc>
        <w:tc>
          <w:tcPr>
            <w:tcW w:w="160" w:type="dxa"/>
            <w:vAlign w:val="bottom"/>
          </w:tcPr>
          <w:p>
            <w:pPr>
              <w:spacing w:after="0"/>
              <w:rPr>
                <w:sz w:val="16"/>
                <w:szCs w:val="16"/>
                <w:color w:val="auto"/>
              </w:rPr>
            </w:pPr>
          </w:p>
        </w:tc>
        <w:tc>
          <w:tcPr>
            <w:tcW w:w="116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June 27,</w:t>
            </w:r>
          </w:p>
        </w:tc>
        <w:tc>
          <w:tcPr>
            <w:tcW w:w="180" w:type="dxa"/>
            <w:vAlign w:val="bottom"/>
          </w:tcPr>
          <w:p>
            <w:pPr>
              <w:spacing w:after="0"/>
              <w:rPr>
                <w:sz w:val="16"/>
                <w:szCs w:val="16"/>
                <w:color w:val="auto"/>
              </w:rPr>
            </w:pPr>
          </w:p>
        </w:tc>
        <w:tc>
          <w:tcPr>
            <w:tcW w:w="9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Change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Gross Margin %</w:t>
            </w:r>
          </w:p>
        </w:tc>
        <w:tc>
          <w:tcPr>
            <w:tcW w:w="18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 increased $4.5 million, or 8.5%, in the first quarter of fiscal 2017 compared to the first quarter of fiscal 2016. Excluding the unfavorable impact of $0.4 million and $2.3 million of inventory purchase accounting, gross margin would have been $57.6 million for the first quarter of fiscal 2017 and $55.1 million for the first quarter of fiscal 2016, a 4.6 % increase.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Selling, General and Administrative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2"/>
              </w:rPr>
              <w:t>July 2,</w:t>
            </w:r>
          </w:p>
        </w:tc>
        <w:tc>
          <w:tcPr>
            <w:tcW w:w="160" w:type="dxa"/>
            <w:vAlign w:val="bottom"/>
          </w:tcPr>
          <w:p>
            <w:pPr>
              <w:spacing w:after="0"/>
              <w:rPr>
                <w:sz w:val="16"/>
                <w:szCs w:val="16"/>
                <w:color w:val="auto"/>
              </w:rPr>
            </w:pPr>
          </w:p>
        </w:tc>
        <w:tc>
          <w:tcPr>
            <w:tcW w:w="116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June 27,</w:t>
            </w:r>
          </w:p>
        </w:tc>
        <w:tc>
          <w:tcPr>
            <w:tcW w:w="180" w:type="dxa"/>
            <w:vAlign w:val="bottom"/>
          </w:tcPr>
          <w:p>
            <w:pPr>
              <w:spacing w:after="0"/>
              <w:rPr>
                <w:sz w:val="16"/>
                <w:szCs w:val="16"/>
                <w:color w:val="auto"/>
              </w:rPr>
            </w:pPr>
          </w:p>
        </w:tc>
        <w:tc>
          <w:tcPr>
            <w:tcW w:w="9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Change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 of net sales</w:t>
            </w:r>
          </w:p>
        </w:tc>
        <w:tc>
          <w:tcPr>
            <w:tcW w:w="18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SG&amp;A expenses increased by $2.1 million to $25.8 million for the first quarter of fiscal 2017 compared to the same period last year. As a percentage of sales, SG&amp;A was 16.7% for the first quarter of fiscal 2017 compared to 16.7% for the same period last year. Excluding the one month impact of the Sargent acquisition of $1.2 million, the increase was primarily due to higher incentive stock compensation of $0.6 million and other items of $0.3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820" w:type="dxa"/>
            <w:vAlign w:val="bottom"/>
          </w:tcPr>
          <w:p>
            <w:pPr>
              <w:jc w:val="center"/>
              <w:ind w:left="175"/>
              <w:spacing w:after="0" w:line="191" w:lineRule="exact"/>
              <w:rPr>
                <w:sz w:val="20"/>
                <w:szCs w:val="20"/>
                <w:color w:val="auto"/>
              </w:rPr>
            </w:pPr>
            <w:r>
              <w:rPr>
                <w:rFonts w:ascii="Arial" w:cs="Arial" w:eastAsia="Arial" w:hAnsi="Arial"/>
                <w:sz w:val="18"/>
                <w:szCs w:val="18"/>
                <w:b w:val="1"/>
                <w:bCs w:val="1"/>
                <w:color w:val="auto"/>
                <w:w w:val="92"/>
              </w:rPr>
              <w:t>July 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w w:val="85"/>
              </w:rPr>
              <w:t>June 27,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108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Change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20" w:type="dxa"/>
            <w:vAlign w:val="bottom"/>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2.2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7"/>
              </w:rPr>
              <w:t>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 of net sales</w:t>
            </w:r>
          </w:p>
        </w:tc>
        <w:tc>
          <w:tcPr>
            <w:tcW w:w="82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w w:val="97"/>
              </w:rPr>
              <w:t>1.4%</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operating expenses for the first quarter of fiscal 2017 totaled $2.2 million compared to $6.7 million for the same period last year. For the first quarter of fiscal 2017 other operating expenses were comprised mainly of $2.2 million of amortization of intangible assets. Other operating expenses last year consisted primarily of $1.8 million of amortization of intangibles, $4.0 million of acquisition related costs, $0.8 million of integration and restructuring costs and $0.1 million of other items.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4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840" w:type="dxa"/>
            <w:vAlign w:val="bottom"/>
          </w:tcPr>
          <w:p>
            <w:pPr>
              <w:jc w:val="center"/>
              <w:ind w:left="155"/>
              <w:spacing w:after="0" w:line="191" w:lineRule="exact"/>
              <w:rPr>
                <w:sz w:val="20"/>
                <w:szCs w:val="20"/>
                <w:color w:val="auto"/>
              </w:rPr>
            </w:pPr>
            <w:r>
              <w:rPr>
                <w:rFonts w:ascii="Arial" w:cs="Arial" w:eastAsia="Arial" w:hAnsi="Arial"/>
                <w:sz w:val="18"/>
                <w:szCs w:val="18"/>
                <w:b w:val="1"/>
                <w:bCs w:val="1"/>
                <w:color w:val="auto"/>
                <w:w w:val="92"/>
              </w:rPr>
              <w:t>July 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w w:val="85"/>
              </w:rPr>
              <w:t>June 27,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1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2.3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4"/>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14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 of net sales</w:t>
            </w:r>
          </w:p>
        </w:tc>
        <w:tc>
          <w:tcPr>
            <w:tcW w:w="84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net, generally consists of interest charged on our credit facilities and amortization of deferred financing fees, offset by interest income (see “Liquidity and Capital Resources – Liquidity”, below). Interest expense, net was $2.3 million for the first quarter of fiscal 2017 compared to $1.7 million for the same period last year. The Company had total debt of $343.8 million at July 2, 2016 compared to $427.4 million at June 27, 2015. Last year only had approximately two months of interest expense activity.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5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rPr>
              <w:t>July 2,</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7"/>
              </w:rPr>
              <w:t>June 27,</w:t>
            </w:r>
          </w:p>
        </w:tc>
        <w:tc>
          <w:tcPr>
            <w:tcW w:w="160" w:type="dxa"/>
            <w:vAlign w:val="bottom"/>
          </w:tcPr>
          <w:p>
            <w:pPr>
              <w:spacing w:after="0"/>
              <w:rPr>
                <w:sz w:val="16"/>
                <w:szCs w:val="16"/>
                <w:color w:val="auto"/>
              </w:rPr>
            </w:pPr>
          </w:p>
        </w:tc>
      </w:tr>
      <w:tr>
        <w:trPr>
          <w:trHeight w:val="234"/>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Effective tax rate with discrete items</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without discrete items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 expense for the three month period ended July 2, 2016 was $8.8 million compared to $6.6 million for the three month period ended June 27, 2015. Our effective income tax rate for the three month period ended July 2, 2016 was 32.7% compared to 33.1% for the three month period ended June 27, 2015. The effective income tax rate for the three month period ended July 2, 2016 of 32.7% includes immaterial discrete expense of $0.2 million which is substantially comprised of the release of unrecognized tax positions associated with the statute of limitations expiration. The effective income tax rate without discrete items for the three month period ended July 2, 2016 would have been 33.5%. The effective income tax rate for the three month period ended June 27, 2015 of 33.1% includes discrete benefits of $0.1 million. The effective income tax rate without these discrete items would have been 33.6%.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four reportable product segments: Plain Bearings, Roller Bearings, Ball Bearings and Engineered Products. In fiscal 2016 we integrated the Sargent businesses into our Plain Bearings and Engineered Products segments (see Notes 8 and 9 of Notes to Unaudited Interim Consolidated Financial Statements). We use gross margin as the primary measurement to assess the financial performance of each reportable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Plain Bearing Segment:</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July 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1"/>
              </w:rPr>
              <w:t>June 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 Change</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Gross margin %</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SG&amp;A</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 of segment net sales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increased $4.8 million, or 7.3%, for the three months ended July 2, 2016 compared to the same period last year. The 7.3% increase was primarily driven by an increase of 10.3% in our aerospace markets offset by a decrease of 0.2% in the industrial markets. The increase in aerospace sales was mainly due to the commercial aerospace OEM and aftermarket. The decrease in industrial sales was mostly driven by energy OEM. Organic net sales increased by 2.1% over the same period.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as a percent of sales decreased to 37.7% for the first quarter of fiscal 2017 compared to 39.5% for the same period last year. The decrease was primarily due to unfavorable product mix.</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Roller Bearing Segment: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July 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June 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 Change</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margin %</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SG&amp;A</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of segment net sales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sales decreased $2.8 million, or 9.0%, for the three months ended July 2, 2016 compared to the same period last year. Our industrial markets decreased 22.5% while our aerospace markets increased by 5.6%. The decrease in industrial sales was primarily due to weakening demand mainly in energy offset by our commercial aerospace markets.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Gross margin for the three months ended July 2, 2016 was $12.3 million, or 44.2% of sales, compared to $12.9 million, or 42.2%, in the comparable period in fiscal 2016. This increase in the gross margin percentage was primarily due to the impact of cost efficiencies and product mix.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Ball Bearing Segment:</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July 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June 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9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Gross margin %</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SG&amp;A</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 of segment net sales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sales increased $0.9 million, or 7.0%, for the first quarter of fiscal 2017 compared to the same period last year. Our aerospace markets decreased 5.5% while our industrial markets increased 13.7%. The 5.5% decrease in aerospace sales was primarily driven by the commercial aerospace OEM market, while the increase in industrial sales was a result of the industrial OEM and distribution mainly driven by semiconductor and general industrial markets.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as a percent of sales decreased to 38.7% for the first quarter of fiscal 2017 compared to 40.4% for the same period last year. The decrease was primarily due to unfavorable product mix.</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Engineered Products Segment:</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July 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June 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9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Gross margin %</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SG&amp;A</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 of segment net sales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sales increased $9.4 million, or 28.1%, for the first three months of fiscal 2017 compared to the same period last year. Our aerospace markets increased 21.9% while our industrial markets increased 44.0%. The increase in aerospace sales was mainly due to the commercial aerospace OEM market. The increase in industrial sales was driven by marine activity. Organic net sales increased by 11.4% over the same period.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 as a percent of sales increased to 30.8% for the first quarter of fiscal 2017 compared to 26.3% for the same period last year. Excluding $0.3 million and $2.3 million of acquisition related costs incurred in the first quarter of fiscal 2017 and fiscal 2016, gross margin would have been 31.5% and 33.1% of sales respectively. This decrease is attributable to unfavorable product mix.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July 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June 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9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Change</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 of total net sales</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SG&amp;A increased for the first quarter of fiscal 2017 compared to the same period last year. This was primarily due to an increase of $0.6 million in stock compensation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business is capital intensive. Our capital requirements include manufacturing equipment and materials. In addition, we have historically fueled our growth in part through acquisitions. We have historically met our working capital, capital expenditure requirements and acquisition funding needs through our net cash flows provided by operations, various debt arrangements and sale of equity to investors. We believe that operating cash flows and available credit under the credit facilities will provide adequate resources to fund internal and external growth initiatives for the foreseeable future.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meet future working capital, capital expenditures and debt service requirements will depend on our future financial performance, which will be affected by a range of economic, competitive and business factors, particularly interest rates, cyclical changes in our end markets and prices for steel and our ability to pass through price increases on a timely basis, many of which are outside of our control. In addition, future acquisitions could have a significant impact on our liquidity position and our need for additional funds.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evaluate our existing facilities and operations and their strategic importance to us. If we determine that a given facility or operation does not have future strategic importance, we may sell, partially or completely, relocate production lines, consolidate or otherwise dispose of those operations. Although we believe our operations would not be materially impaired by such dispositions, relocations or consolidations, we could incur significant cash or non-cash charges in connection with them.</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July 2, 2016, we had cash and cash equivalents of $37.3 million of which approximately $31.1 million was cash held by our foreign operations. We expect that our undistributed foreign earnings will be re-invested indefinitely for working capital, internal growth and acquisitions for and by our foreign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Sargent acquisition on April 24, 2015, the Company entered into the Credit Agreement and related Guarantee, Pledge Agreement and Security Agreement with Wells Fargo Bank, National Association, as Administrative Agent, Collateral Agent, Swingline Lender and Letter of Credit Issuer and the other lenders party thereto and terminated the JP Morgan Credit Agreement. The Credit Agreement provides RBCA, as Borrower, with (a) a $200 million Term Loan and (b) a $350 million Revolver and together with the Term Loan (the “Facilities”).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Amounts outstanding under the Facilities generally bear interest at (a) a base rate determined by reference to the higher of (1) Wells Fargo’s prime lending rate, (2) the federal funds effective rate plus ½ of 1% and (3) the one-month LIBOR rate plus 1% or (b) LIBOR rate plus a specified margin, depending on the type of borrowing being made. The applicable margin is based on the Company’s consolidated ratio of total net debt to consolidated EBITDA from time to time. Currently, our margin is 0.5% for base rate loans and 1.5% for LIBOR rate loans. As of July 2, 2016, there was $151.5 million outstanding under the Revolver and $190.0 million outstanding under the Term Loan, offset by $5.5 million in debt issuance costs (original amount was $7.1 million).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Agreement requires us to comply with various covenants, including among other things, financial covenants to maintain the following:</w:t>
      </w:r>
    </w:p>
    <w:p>
      <w:pPr>
        <w:spacing w:after="0" w:line="46" w:lineRule="exact"/>
        <w:rPr>
          <w:sz w:val="20"/>
          <w:szCs w:val="20"/>
          <w:color w:val="auto"/>
        </w:rPr>
      </w:pPr>
    </w:p>
    <w:p>
      <w:pPr>
        <w:jc w:val="both"/>
        <w:ind w:firstLine="8"/>
        <w:spacing w:after="0" w:line="254" w:lineRule="auto"/>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consolidated net debt to adjusted EBITDA, not to exceed 3.50 to 1; and (2) a consolidated interest coverage ratio not to exceed 2.75 to 1. The New Credit Agreement allows us to, among other things, make distributions to shareholders, repurchase our stock, incur other debt or liens, or acquire or dispose of assets provided that we comply with certain requirements and limitations of the agreement. As of July 2, 2016, we were in compliance with all such covenants.</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obligations under the Credit Agreement are secured as well as providing for a pledge of substantially all of our assets. We and certain of our subsidiaries have also entered into a Guarantee to guarantee our obligations under the Credit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Approximately $3.5 million of the Revolver is being utilized to provide letters of credit to secure RBCA’s obligations relating to certain insurance programs. As of July 2, 2016, RBCA has the ability to borrow up to an additional $195.2 million under the Revolver.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Notes Payable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2012, Schaublin purchased the land and building, which it occupied and had been leasing, for 14.1 million CHF (approximately $14.9 million). Schaublin obtained a 20 year fixed rate mortgage of 9.3 million CHF (approximately $9.9 million) at an interest rate of 2.9%. The balance of the purchase price of 4.8 million CHF (approximately $5.1 million) was paid from cash on hand. The balance on this mortgage as of July 2, 2016 was 7.6 million CHF, or $7.8 million.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 Period Ended July 2, 2016 Compared to the Three Month Period Ended June 27, 2015</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 activities: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FY17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FY16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activities</w:t>
            </w:r>
          </w:p>
        </w:tc>
        <w:tc>
          <w:tcPr>
            <w:tcW w:w="1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c>
          <w:tcPr>
            <w:tcW w:w="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fiscal 2017 we generated cash of $19.2 million from operating activities compared to generating cash of $22.2 million for fiscal 2016. The decrease of $3.0 million for fiscal 2017 was mainly a result of the unfavorable impact of the net change in operating assets and liabilities of $7.1 million and non-cash charges of $0.5 million offset by an increase in net income of $4.6 million. The unfavorable change in operating assets and liabilities was primarily the result of an increase in the amount of cash being used for working capital items as detailed in the table below, while the non-cash charges were primarily driven by a decrease in the excess tax impact from stock-based compensation of $1.6 million offset by increased depreciation of $0.6 million and amortization of intangibles of $0.4 million.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chart summarizes the unfavorable change in operating assets and liabilities of $(7.1) million for fiscal 2017 versus fiscal 2016 and $(6.3) million for fiscal 2016 versus fiscal 2015.</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FY17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FY16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w:t>
            </w:r>
          </w:p>
        </w:tc>
        <w:tc>
          <w:tcPr>
            <w:tcW w:w="248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(0.6)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change in operating assets and liabilities:</w:t>
            </w:r>
          </w:p>
        </w:tc>
        <w:tc>
          <w:tcPr>
            <w:tcW w:w="17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2017, we used $5.2 million for investing activities as compared to $505.3 million for fiscal 2016. The decrease of cash used in investing activities of $500.1 million is primarily attributable to the $500.0 million used to finance the acquisition of Sargent.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2017, we used $15.9 million from financing activities compared to generating $418.2 million for fiscal 2016. This decrease in cash generated was primarily attributable to the $225.0 million revolving credit facility and $200.0 million proceeds from the term loan associated with the acquisition of Sargent in the first quarter of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capital expenditures were $5.2 million for the three month period ended July 2, 2016. In addition, we expect to make additional capital expenditures of $15.0 to $17.0 million during fiscal 2017 in connection with our existing business. We expect to fund fiscal 2017 capital expenditures principally through existing cash, internally generated funds and debt. We may also make substantial additional capital expenditures in connection with acquisitions.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Obligations and Commitments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contractual obligations presented in the table below represent our estimates of future payments under fixed contractual obligations and commitments. Changes in our business needs, cancellation provisions and interest rates, as well as actions by third parties and other factors, may cause these estimates to change. Because these estimates are necessarily subjective, our actual payments in future periods are likely to vary from those presented in the table. The following table summarizes certain of our contractual obligations and principal and interest payments under our debt instruments and leases as of July 2, 2016:</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7"/>
              </w:rPr>
              <w:t>More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Obligations</w:t>
            </w:r>
            <w:r>
              <w:rPr>
                <w:rFonts w:ascii="Arial" w:cs="Arial" w:eastAsia="Arial" w:hAnsi="Arial"/>
                <w:sz w:val="30"/>
                <w:szCs w:val="30"/>
                <w:b w:val="1"/>
                <w:bCs w:val="1"/>
                <w:color w:val="auto"/>
                <w:vertAlign w:val="superscript"/>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1 to</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3 to</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than</w:t>
            </w:r>
          </w:p>
        </w:tc>
        <w:tc>
          <w:tcPr>
            <w:tcW w:w="0" w:type="dxa"/>
            <w:vAlign w:val="bottom"/>
          </w:tcPr>
          <w:p>
            <w:pPr>
              <w:spacing w:after="0"/>
              <w:rPr>
                <w:sz w:val="1"/>
                <w:szCs w:val="1"/>
                <w:color w:val="auto"/>
              </w:rPr>
            </w:pPr>
          </w:p>
        </w:tc>
      </w:tr>
      <w:tr>
        <w:trPr>
          <w:trHeight w:val="234"/>
        </w:trPr>
        <w:tc>
          <w:tcPr>
            <w:tcW w:w="3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3 Years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5 Years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35,956</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297,456</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Interest on debt</w:t>
            </w:r>
            <w:r>
              <w:rPr>
                <w:rFonts w:ascii="Arial" w:cs="Arial" w:eastAsia="Arial" w:hAnsi="Arial"/>
                <w:sz w:val="29"/>
                <w:szCs w:val="29"/>
                <w:b w:val="1"/>
                <w:bCs w:val="1"/>
                <w:color w:val="auto"/>
                <w:vertAlign w:val="superscript"/>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417,883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64,389</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312,461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cannot make a reasonably reliable estimate of when the unrecognized tax liability of $13.8 million, which includes interest and penalties, and is offset by deferred tax assets, will be paid to the respective taxing authorities. These obligations are therefore excluded from the above table.</w:t>
      </w:r>
    </w:p>
    <w:p>
      <w:pPr>
        <w:spacing w:after="0" w:line="146" w:lineRule="exact"/>
        <w:rPr>
          <w:rFonts w:ascii="Arial" w:cs="Arial" w:eastAsia="Arial" w:hAnsi="Arial"/>
          <w:sz w:val="17"/>
          <w:szCs w:val="17"/>
          <w:color w:val="auto"/>
        </w:rPr>
      </w:pPr>
    </w:p>
    <w:p>
      <w:pPr>
        <w:ind w:left="520" w:hanging="512"/>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represent expected cash payments of interest on our variable rate long-term debt under our Facilities at the prevailing interest rates at July 2,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See page 7 in Notes to Unaudited Interim Consolidated Financial Statements.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the Notes to the Consolidated Financial Statements in our fiscal 2016 Annual Report, incorporated by reference in our fiscal 2016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three months of fiscal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market risks, which arise during the normal course of business from changes in interest rates and foreign currency exchange rates.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currently have variable rate debt outstanding under the credit agreement. We regularly evaluate the impact of interest rate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net income and cash flow and take action to limit our exposure when appropriate.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Foreign Currency Exchange Rates. </w:t>
      </w:r>
      <w:r>
        <w:rPr>
          <w:rFonts w:ascii="Arial" w:cs="Arial" w:eastAsia="Arial" w:hAnsi="Arial"/>
          <w:sz w:val="17"/>
          <w:szCs w:val="17"/>
          <w:color w:val="auto"/>
        </w:rPr>
        <w:t>As a result of our operations in Europe, we are exposed to risk associated with fluctuating currency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between the U.S. dollar, the Euro, the Swiss Franc, the Polish Zloty and the Canadian Dollar. Our Swiss operations utilize the Swiss Franc as the functional currency, our French operations utilize the Euro as the functional currency, our Polish operations utilize the Polish Zloty as the functional currency and our Canadian operations utilize the Canadian Dollar as the functional currency. Foreign currency transaction gains and losses are included in earnings. Approximately 11% and 11% of our net sales were impacted by foreign currency fluctuations in the first three months of fiscal 2017 and fiscal 2016, respectively. We expect that this proportion is likely to increase as we seek to increase our penetration of foreign markets, particularly within the aerospace and defense markets. Foreign currency transaction exposure arises primarily from the transfer of foreign currency from one subsidiary to another within the group, and to foreign currency denominated trade receivables. Unrealized currency translation gains and losses are recognized upon translation of the foreign subsidiaries’ balance sheets to U.S. dollars. Because our financial statements are denominated in U.S. dollars, changes in currency exchange rates between the U.S. dollar and other currencies have had, and will continue to have, an impact on our earnings. We periodically enter into derivative financial instruments in the form of forward exchange contracts to reduce the effect of fluctuations in exchange rates on certain third-party sales transactions denominated in non-functional currencies. Based on the accounting guidance related to derivatives and hedging activities, we record derivative financial instruments at fair value. For derivative financial instruments designated and qualifying as cash flow hedges, the effective portion of the gain or loss on these hedges is reported as a component of accumulated other comprehensive income (“AOCI”), and is reclassified into earnings when the hedged transaction affects earnings. As of July 2, 2016, we had no derivatives.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(the “Exchange Act”)) as of July 2, 2016. Based on this evaluation, our Chief Executive Officer and Chief Financial Officer have concluded that, as of July 2, 2016, our disclosure controls and procedures were (1) designed to ensure that information relating to our Company required to be disclosed by us in the reports that we file or submit under the Exchange Act is recorded, processed, summarized and reported to our Chief Executive Officer and Chief Financial Officer within the time periods specified in the rules and forms of the U.S. Securities and Exchange Commission, and (2) effective, in that they provide reasonable assurance regarding the reliability of financial reporting and the preparation of financial statements for external purposes in accordance with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change in our internal control over financial reporting occurred during the three month period ended July 2, 2016 that has materially affected, or is reasonably likely to materially affect, our internal control over financial reporting (as defined in Rules 13a-15(f) and 15d-15(f) under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are involved in litigation and administrative proceedings which arise in the ordinary course of our business. We do not believe that any litigation or proceeding in which we are currently involved, including those discussed below, either individually or in the aggregate, is likely to have a material adverse effect on our business, financial condition, operating results, cash flow or prospects.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As reported in the Company’s Annual Report on Form 10-K for the period ended April 2, 2016, filed on May 26, 2016, the pending litigation involving Precise Machining and Manufacturing LLC was resolved on May 20, 2016, and the pending litigation involving SKF, USA was resolved on May 18,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to our risk factors and uncertainties during the three month period ended July 2, 2016. For a discussion of the Risk Factors, refer to Part I, Item 2, “Cautionary Statement As To Forward-Looking Information,” contained in this report and Part I, Item 1A, “Risk Factors,” contained in the Company’s Annual Report on Form 10-K for the period ended April 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2013, our board of directors authorized us to repurchase up to $50.0 million of our common stock, from time to time on the open market, in block trade transactions and through privately negotiated transactions in compliance with Securities and Exchange Commission Rule 10b-18 depending on market conditions, alternative uses of capital and other relevant factors. Purchases may be commenced, suspended, or discontinued at any time without prior notice.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share repurchases for the three months ended July 2, 2016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dollar value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8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of shares still</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3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0"/>
              </w:rPr>
              <w:t>available to be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price paid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program</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Period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per share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program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(000’s)</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04/3/2016 – 04/30/2016</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05/1/2016 – 05/28/2016</w:t>
            </w:r>
          </w:p>
        </w:tc>
        <w:tc>
          <w:tcPr>
            <w:tcW w:w="1060" w:type="dxa"/>
            <w:vAlign w:val="bottom"/>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05/29/2016 – 07/2/2016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42,909</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120" w:type="dxa"/>
            <w:vAlign w:val="bottom"/>
          </w:tcPr>
          <w:p>
            <w:pPr>
              <w:spacing w:after="0" w:line="20" w:lineRule="exact"/>
              <w:rPr>
                <w:sz w:val="1"/>
                <w:szCs w:val="1"/>
                <w:color w:val="auto"/>
              </w:rPr>
            </w:pPr>
          </w:p>
        </w:tc>
        <w:tc>
          <w:tcPr>
            <w:tcW w:w="47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Defaults Upon Senior Securities</w:t>
            </w: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522"/>
        </w:trPr>
        <w:tc>
          <w:tcPr>
            <w:tcW w:w="20" w:type="dxa"/>
            <w:vAlign w:val="bottom"/>
          </w:tcPr>
          <w:p>
            <w:pPr>
              <w:spacing w:after="0"/>
              <w:rPr>
                <w:sz w:val="24"/>
                <w:szCs w:val="24"/>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140" w:type="dxa"/>
            <w:vAlign w:val="bottom"/>
          </w:tcPr>
          <w:p>
            <w:pPr>
              <w:spacing w:after="0" w:line="195" w:lineRule="exact"/>
              <w:rPr>
                <w:sz w:val="20"/>
                <w:szCs w:val="20"/>
                <w:color w:val="auto"/>
              </w:rPr>
            </w:pPr>
            <w:r>
              <w:rPr>
                <w:rFonts w:ascii="Arial" w:cs="Arial" w:eastAsia="Arial" w:hAnsi="Arial"/>
                <w:sz w:val="18"/>
                <w:szCs w:val="18"/>
                <w:color w:val="auto"/>
              </w:rPr>
              <w:t>31.01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rPr>
              <w:t>Certification of Chief Executive Officer Pursuant to Securities Exchange Act Rule 13a-14(a).</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31.02</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Financial Officer Pursuant to Securities Exchange Act Rule 13a-14(a).</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32.01</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Executive Officer Pursuant to 18 U.S.C. Section 1350 and Securities Exchange Act Rule 13a-14(b).*</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32.02</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Financial Officer Pursuant to 18 U.S.C. Section 1350 and Securities Exchange Act Rule 13a-14(b).*</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jc w:val="both"/>
        <w:ind w:firstLine="8"/>
        <w:spacing w:after="0" w:line="286" w:lineRule="auto"/>
        <w:tabs>
          <w:tab w:leader="none" w:pos="6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RBC B</w:t>
      </w:r>
      <w:r>
        <w:rPr>
          <w:rFonts w:ascii="Arial" w:cs="Arial" w:eastAsia="Arial" w:hAnsi="Arial"/>
          <w:sz w:val="12"/>
          <w:szCs w:val="12"/>
          <w:color w:val="auto"/>
        </w:rPr>
        <w:t>EARINGS</w:t>
      </w:r>
      <w:r>
        <w:rPr>
          <w:rFonts w:ascii="Arial" w:cs="Arial" w:eastAsia="Arial" w:hAnsi="Arial"/>
          <w:sz w:val="18"/>
          <w:szCs w:val="18"/>
          <w:color w:val="auto"/>
        </w:rPr>
        <w:t xml:space="preserve"> I</w:t>
      </w:r>
      <w:r>
        <w:rPr>
          <w:rFonts w:ascii="Arial" w:cs="Arial" w:eastAsia="Arial" w:hAnsi="Arial"/>
          <w:sz w:val="12"/>
          <w:szCs w:val="12"/>
          <w:color w:val="auto"/>
        </w:rPr>
        <w:t>NCORPORATED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18"/>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Hartnett</w:t>
            </w:r>
          </w:p>
        </w:tc>
      </w:tr>
      <w:tr>
        <w:trPr>
          <w:trHeight w:val="195"/>
        </w:trPr>
        <w:tc>
          <w:tcPr>
            <w:tcW w:w="504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5840" w:type="dxa"/>
            <w:vAlign w:val="bottom"/>
          </w:tcPr>
          <w:p>
            <w:pPr>
              <w:ind w:left="240"/>
              <w:spacing w:after="0" w:line="195" w:lineRule="exact"/>
              <w:rPr>
                <w:sz w:val="20"/>
                <w:szCs w:val="20"/>
                <w:color w:val="auto"/>
              </w:rPr>
            </w:pPr>
            <w:r>
              <w:rPr>
                <w:rFonts w:ascii="Arial" w:cs="Arial" w:eastAsia="Arial" w:hAnsi="Arial"/>
                <w:sz w:val="18"/>
                <w:szCs w:val="18"/>
                <w:color w:val="auto"/>
              </w:rPr>
              <w:t>Michael J. Hartnett</w:t>
            </w:r>
          </w:p>
        </w:tc>
      </w:tr>
      <w:tr>
        <w:trPr>
          <w:trHeight w:val="216"/>
        </w:trPr>
        <w:tc>
          <w:tcPr>
            <w:tcW w:w="50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84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230"/>
        </w:trPr>
        <w:tc>
          <w:tcPr>
            <w:tcW w:w="50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840" w:type="dxa"/>
            <w:vAlign w:val="bottom"/>
          </w:tcPr>
          <w:p>
            <w:pPr>
              <w:ind w:left="240"/>
              <w:spacing w:after="0"/>
              <w:rPr>
                <w:sz w:val="20"/>
                <w:szCs w:val="20"/>
                <w:color w:val="auto"/>
              </w:rPr>
            </w:pPr>
            <w:r>
              <w:rPr>
                <w:rFonts w:ascii="Arial" w:cs="Arial" w:eastAsia="Arial" w:hAnsi="Arial"/>
                <w:sz w:val="18"/>
                <w:szCs w:val="18"/>
                <w:color w:val="auto"/>
              </w:rPr>
              <w:t>August 4, 2016</w:t>
            </w:r>
          </w:p>
        </w:tc>
      </w:tr>
      <w:tr>
        <w:trPr>
          <w:trHeight w:val="432"/>
        </w:trPr>
        <w:tc>
          <w:tcPr>
            <w:tcW w:w="5040" w:type="dxa"/>
            <w:vAlign w:val="bottom"/>
          </w:tcPr>
          <w:p>
            <w:pPr>
              <w:ind w:left="446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A. Bergeron</w:t>
            </w:r>
          </w:p>
        </w:tc>
      </w:tr>
      <w:tr>
        <w:trPr>
          <w:trHeight w:val="195"/>
        </w:trPr>
        <w:tc>
          <w:tcPr>
            <w:tcW w:w="504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5840" w:type="dxa"/>
            <w:vAlign w:val="bottom"/>
          </w:tcPr>
          <w:p>
            <w:pPr>
              <w:ind w:left="240"/>
              <w:spacing w:after="0" w:line="195" w:lineRule="exact"/>
              <w:rPr>
                <w:sz w:val="20"/>
                <w:szCs w:val="20"/>
                <w:color w:val="auto"/>
              </w:rPr>
            </w:pPr>
            <w:r>
              <w:rPr>
                <w:rFonts w:ascii="Arial" w:cs="Arial" w:eastAsia="Arial" w:hAnsi="Arial"/>
                <w:sz w:val="18"/>
                <w:szCs w:val="18"/>
                <w:color w:val="auto"/>
              </w:rPr>
              <w:t>Daniel A. Bergeron</w:t>
            </w:r>
          </w:p>
        </w:tc>
      </w:tr>
      <w:tr>
        <w:trPr>
          <w:trHeight w:val="216"/>
        </w:trPr>
        <w:tc>
          <w:tcPr>
            <w:tcW w:w="50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584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30"/>
        </w:trPr>
        <w:tc>
          <w:tcPr>
            <w:tcW w:w="50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840" w:type="dxa"/>
            <w:vAlign w:val="bottom"/>
          </w:tcPr>
          <w:p>
            <w:pPr>
              <w:ind w:left="240"/>
              <w:spacing w:after="0"/>
              <w:rPr>
                <w:sz w:val="20"/>
                <w:szCs w:val="20"/>
                <w:color w:val="auto"/>
              </w:rPr>
            </w:pPr>
            <w:r>
              <w:rPr>
                <w:rFonts w:ascii="Arial" w:cs="Arial" w:eastAsia="Arial" w:hAnsi="Arial"/>
                <w:sz w:val="18"/>
                <w:szCs w:val="18"/>
                <w:color w:val="auto"/>
              </w:rPr>
              <w:t>August 4, 2016</w:t>
            </w:r>
          </w:p>
        </w:tc>
      </w:tr>
      <w:tr>
        <w:trPr>
          <w:trHeight w:val="540"/>
        </w:trPr>
        <w:tc>
          <w:tcPr>
            <w:tcW w:w="5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79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9920" w:type="dxa"/>
            <w:vAlign w:val="bottom"/>
            <w:tcBorders>
              <w:bottom w:val="single" w:sz="8" w:color="auto"/>
            </w:tcBorders>
          </w:tcPr>
          <w:p>
            <w:pPr>
              <w:ind w:left="420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1360" w:type="dxa"/>
            <w:vAlign w:val="bottom"/>
          </w:tcPr>
          <w:p>
            <w:pPr>
              <w:spacing w:after="0" w:line="195" w:lineRule="exact"/>
              <w:rPr>
                <w:sz w:val="20"/>
                <w:szCs w:val="20"/>
                <w:color w:val="auto"/>
              </w:rPr>
            </w:pPr>
            <w:r>
              <w:rPr>
                <w:rFonts w:ascii="Arial" w:cs="Arial" w:eastAsia="Arial" w:hAnsi="Arial"/>
                <w:sz w:val="18"/>
                <w:szCs w:val="18"/>
                <w:color w:val="auto"/>
              </w:rPr>
              <w:t>31.01</w:t>
            </w:r>
          </w:p>
        </w:tc>
        <w:tc>
          <w:tcPr>
            <w:tcW w:w="12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rPr>
              <w:t>Certification of Chief Executive Officer Pursuant to Securities Exchange Act Rule 13a-14(a).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31.02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Financial Officer Pursuant to Securities Exchange Act Rule 13a-14(a).</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32.01</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Executive Officer Pursuant to 18 U.S.C. Section 1350 and Securities Exchange Act Rule 13a-14(b).*</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32.02</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Financial Officer Pursuant to 18 U.S.C. Section 1350 and Securities Exchange Act Rule 13a-14(b).*</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jc w:val="both"/>
        <w:ind w:firstLine="8"/>
        <w:spacing w:after="0" w:line="286" w:lineRule="auto"/>
        <w:tabs>
          <w:tab w:leader="none" w:pos="6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Hartnett,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RBC Bearings Incorporated;</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hanging="4"/>
        <w:spacing w:after="0" w:line="308" w:lineRule="auto"/>
        <w:tabs>
          <w:tab w:leader="none" w:pos="893"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08" w:lineRule="auto"/>
        <w:tabs>
          <w:tab w:leader="none" w:pos="874"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67"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Date: August 4, 2016</w:t>
            </w:r>
          </w:p>
        </w:tc>
        <w:tc>
          <w:tcPr>
            <w:tcW w:w="8580" w:type="dxa"/>
            <w:vAlign w:val="bottom"/>
            <w:gridSpan w:val="2"/>
          </w:tcPr>
          <w:p>
            <w:pPr>
              <w:ind w:left="1280"/>
              <w:spacing w:after="0"/>
              <w:rPr>
                <w:sz w:val="20"/>
                <w:szCs w:val="20"/>
                <w:color w:val="auto"/>
              </w:rPr>
            </w:pPr>
            <w:r>
              <w:rPr>
                <w:rFonts w:ascii="Arial" w:cs="Arial" w:eastAsia="Arial" w:hAnsi="Arial"/>
                <w:sz w:val="18"/>
                <w:szCs w:val="18"/>
                <w:color w:val="auto"/>
              </w:rPr>
              <w:t>By:  /s/ Michael J. Hartnett</w:t>
            </w:r>
          </w:p>
        </w:tc>
      </w:tr>
      <w:tr>
        <w:trPr>
          <w:trHeight w:val="195"/>
        </w:trPr>
        <w:tc>
          <w:tcPr>
            <w:tcW w:w="2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J. Hartnett</w:t>
            </w:r>
          </w:p>
        </w:tc>
      </w:tr>
      <w:tr>
        <w:trPr>
          <w:trHeight w:val="230"/>
        </w:trPr>
        <w:tc>
          <w:tcPr>
            <w:tcW w:w="2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567"/>
        </w:trPr>
        <w:tc>
          <w:tcPr>
            <w:tcW w:w="2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Bergeron,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RBC Bearings Incorporated;</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hanging="4"/>
        <w:spacing w:after="0" w:line="308" w:lineRule="auto"/>
        <w:tabs>
          <w:tab w:leader="none" w:pos="893"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08" w:lineRule="auto"/>
        <w:tabs>
          <w:tab w:leader="none" w:pos="8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firstLine="8"/>
        <w:spacing w:after="0" w:line="277" w:lineRule="auto"/>
        <w:tabs>
          <w:tab w:leader="none" w:pos="2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4"/>
        <w:spacing w:after="0" w:line="277" w:lineRule="auto"/>
        <w:tabs>
          <w:tab w:leader="none" w:pos="8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August 4, 2016</w:t>
            </w:r>
          </w:p>
        </w:tc>
        <w:tc>
          <w:tcPr>
            <w:tcW w:w="2040" w:type="dxa"/>
            <w:vAlign w:val="bottom"/>
          </w:tcPr>
          <w:p>
            <w:pPr>
              <w:ind w:left="1460"/>
              <w:spacing w:after="0"/>
              <w:rPr>
                <w:sz w:val="20"/>
                <w:szCs w:val="20"/>
                <w:color w:val="auto"/>
              </w:rPr>
            </w:pPr>
            <w:r>
              <w:rPr>
                <w:rFonts w:ascii="Arial" w:cs="Arial" w:eastAsia="Arial" w:hAnsi="Arial"/>
                <w:sz w:val="18"/>
                <w:szCs w:val="18"/>
                <w:color w:val="auto"/>
              </w:rPr>
              <w:t>By:</w:t>
            </w: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A. Bergeron</w:t>
            </w:r>
          </w:p>
        </w:tc>
      </w:tr>
      <w:tr>
        <w:trPr>
          <w:trHeight w:val="195"/>
        </w:trPr>
        <w:tc>
          <w:tcPr>
            <w:tcW w:w="3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380" w:type="dxa"/>
            <w:vAlign w:val="bottom"/>
          </w:tcPr>
          <w:p>
            <w:pPr>
              <w:spacing w:after="0" w:line="195" w:lineRule="exact"/>
              <w:rPr>
                <w:sz w:val="20"/>
                <w:szCs w:val="20"/>
                <w:color w:val="auto"/>
              </w:rPr>
            </w:pPr>
            <w:r>
              <w:rPr>
                <w:rFonts w:ascii="Arial" w:cs="Arial" w:eastAsia="Arial" w:hAnsi="Arial"/>
                <w:sz w:val="18"/>
                <w:szCs w:val="18"/>
                <w:color w:val="auto"/>
              </w:rPr>
              <w:t>Daniel A. Bergeron</w:t>
            </w:r>
          </w:p>
        </w:tc>
      </w:tr>
      <w:tr>
        <w:trPr>
          <w:trHeight w:val="230"/>
        </w:trPr>
        <w:tc>
          <w:tcPr>
            <w:tcW w:w="3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567"/>
        </w:trPr>
        <w:tc>
          <w:tcPr>
            <w:tcW w:w="30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Michael J. Hartnett, the President and Chief Executive Officer of RBC Bearings Incorporated (the “Company”),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§1350, hereby certifies that:</w:t>
      </w:r>
    </w:p>
    <w:p>
      <w:pPr>
        <w:spacing w:after="0" w:line="211" w:lineRule="exact"/>
        <w:rPr>
          <w:sz w:val="20"/>
          <w:szCs w:val="20"/>
          <w:color w:val="auto"/>
        </w:rPr>
      </w:pPr>
    </w:p>
    <w:p>
      <w:pPr>
        <w:ind w:left="1300" w:firstLine="5"/>
        <w:spacing w:after="0" w:line="277" w:lineRule="auto"/>
        <w:tabs>
          <w:tab w:leader="none" w:pos="15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July 2, 2016 of the Company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00" w:firstLine="5"/>
        <w:spacing w:after="0" w:line="277" w:lineRule="auto"/>
        <w:tabs>
          <w:tab w:leader="none" w:pos="15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Hartnett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Daniel A. Bergeron, Chief Financial Officer, of RBC Bearings Incorporated (the “Company”), pursuant to 18 U.S.C. §1350, hereby certifies:</w:t>
      </w:r>
    </w:p>
    <w:p>
      <w:pPr>
        <w:spacing w:after="0" w:line="170" w:lineRule="exact"/>
        <w:rPr>
          <w:sz w:val="20"/>
          <w:szCs w:val="20"/>
          <w:color w:val="auto"/>
        </w:rPr>
      </w:pPr>
    </w:p>
    <w:p>
      <w:pPr>
        <w:ind w:left="1300" w:firstLine="5"/>
        <w:spacing w:after="0" w:line="277" w:lineRule="auto"/>
        <w:tabs>
          <w:tab w:leader="none" w:pos="1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July 2, 2016 of the Company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00" w:firstLine="5"/>
        <w:spacing w:after="0" w:line="277" w:lineRule="auto"/>
        <w:tabs>
          <w:tab w:leader="none" w:pos="15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2016</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Daniel A. Bergeron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A.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2019-12-29T10:21:15Z</dcterms:created>
  <dcterms:modified xsi:type="dcterms:W3CDTF">2019-12-29T10:21:15Z</dcterms:modified>
</cp:coreProperties>
</file>